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70" w:rsidRPr="005E56C4" w:rsidRDefault="005E56C4" w:rsidP="005E56C4">
      <w:pPr>
        <w:jc w:val="center"/>
        <w:rPr>
          <w:rFonts w:ascii="Arial" w:hAnsi="Arial" w:cs="Arial"/>
          <w:b/>
          <w:sz w:val="24"/>
          <w:szCs w:val="24"/>
        </w:rPr>
      </w:pPr>
      <w:r w:rsidRPr="005E56C4">
        <w:rPr>
          <w:rFonts w:ascii="Arial" w:hAnsi="Arial" w:cs="Arial"/>
          <w:b/>
          <w:sz w:val="24"/>
          <w:szCs w:val="24"/>
        </w:rPr>
        <w:t>RESUMEN</w:t>
      </w:r>
    </w:p>
    <w:p w:rsidR="005E56C4" w:rsidRDefault="005E56C4"/>
    <w:tbl>
      <w:tblPr>
        <w:tblW w:w="5000" w:type="pct"/>
        <w:tblCellMar>
          <w:left w:w="0" w:type="dxa"/>
          <w:right w:w="0" w:type="dxa"/>
        </w:tblCellMar>
        <w:tblLook w:val="04A0" w:firstRow="1" w:lastRow="0" w:firstColumn="1" w:lastColumn="0" w:noHBand="0" w:noVBand="1"/>
      </w:tblPr>
      <w:tblGrid>
        <w:gridCol w:w="8504"/>
      </w:tblGrid>
      <w:tr w:rsidR="005E56C4" w:rsidRPr="005E56C4" w:rsidTr="005E56C4">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701"/>
              <w:gridCol w:w="6803"/>
            </w:tblGrid>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Autor</w:t>
                  </w: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4" w:history="1">
                    <w:proofErr w:type="spellStart"/>
                    <w:r w:rsidR="005E56C4" w:rsidRPr="005E56C4">
                      <w:rPr>
                        <w:rFonts w:ascii="Arial" w:eastAsia="Times New Roman" w:hAnsi="Arial" w:cs="Arial"/>
                        <w:b/>
                        <w:bCs/>
                        <w:color w:val="014184"/>
                        <w:sz w:val="18"/>
                        <w:szCs w:val="18"/>
                        <w:u w:val="single"/>
                        <w:lang w:eastAsia="es-ES"/>
                      </w:rPr>
                      <w:t>Liñan</w:t>
                    </w:r>
                    <w:proofErr w:type="spellEnd"/>
                    <w:r w:rsidR="005E56C4" w:rsidRPr="005E56C4">
                      <w:rPr>
                        <w:rFonts w:ascii="Arial" w:eastAsia="Times New Roman" w:hAnsi="Arial" w:cs="Arial"/>
                        <w:b/>
                        <w:bCs/>
                        <w:color w:val="014184"/>
                        <w:sz w:val="18"/>
                        <w:szCs w:val="18"/>
                        <w:u w:val="single"/>
                        <w:lang w:eastAsia="es-ES"/>
                      </w:rPr>
                      <w:t xml:space="preserve"> Pérez, J.F.</w:t>
                    </w:r>
                  </w:hyperlink>
                  <w:r w:rsidR="005E56C4" w:rsidRPr="005E56C4">
                    <w:rPr>
                      <w:rFonts w:ascii="&amp;quot" w:eastAsia="Times New Roman" w:hAnsi="&amp;quot" w:cs="Times New Roman"/>
                      <w:sz w:val="18"/>
                      <w:szCs w:val="18"/>
                      <w:lang w:eastAsia="es-ES"/>
                    </w:rPr>
                    <w:t xml:space="preserve"> </w:t>
                  </w:r>
                </w:p>
              </w:tc>
            </w:tr>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Autor corporativo</w:t>
                  </w: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5" w:history="1">
                    <w:r w:rsidR="005E56C4" w:rsidRPr="005E56C4">
                      <w:rPr>
                        <w:rFonts w:ascii="Arial" w:eastAsia="Times New Roman" w:hAnsi="Arial" w:cs="Arial"/>
                        <w:b/>
                        <w:bCs/>
                        <w:color w:val="014184"/>
                        <w:sz w:val="18"/>
                        <w:szCs w:val="18"/>
                        <w:u w:val="single"/>
                        <w:lang w:eastAsia="es-ES"/>
                      </w:rPr>
                      <w:t>Universidad Nacional Agraria La Molina, Lima (</w:t>
                    </w:r>
                    <w:proofErr w:type="spellStart"/>
                    <w:r w:rsidR="005E56C4" w:rsidRPr="005E56C4">
                      <w:rPr>
                        <w:rFonts w:ascii="Arial" w:eastAsia="Times New Roman" w:hAnsi="Arial" w:cs="Arial"/>
                        <w:b/>
                        <w:bCs/>
                        <w:color w:val="014184"/>
                        <w:sz w:val="18"/>
                        <w:szCs w:val="18"/>
                        <w:u w:val="single"/>
                        <w:lang w:eastAsia="es-ES"/>
                      </w:rPr>
                      <w:t>Peru</w:t>
                    </w:r>
                    <w:proofErr w:type="spellEnd"/>
                    <w:r w:rsidR="005E56C4" w:rsidRPr="005E56C4">
                      <w:rPr>
                        <w:rFonts w:ascii="Arial" w:eastAsia="Times New Roman" w:hAnsi="Arial" w:cs="Arial"/>
                        <w:b/>
                        <w:bCs/>
                        <w:color w:val="014184"/>
                        <w:sz w:val="18"/>
                        <w:szCs w:val="18"/>
                        <w:u w:val="single"/>
                        <w:lang w:eastAsia="es-ES"/>
                      </w:rPr>
                      <w:t>). Escuela de Posgrado, Maestría en Tecnología de Alimentos</w:t>
                    </w:r>
                  </w:hyperlink>
                  <w:r w:rsidR="005E56C4" w:rsidRPr="005E56C4">
                    <w:rPr>
                      <w:rFonts w:ascii="&amp;quot" w:eastAsia="Times New Roman" w:hAnsi="&amp;quot" w:cs="Times New Roman"/>
                      <w:sz w:val="18"/>
                      <w:szCs w:val="18"/>
                      <w:lang w:eastAsia="es-ES"/>
                    </w:rPr>
                    <w:t xml:space="preserve"> </w:t>
                  </w:r>
                </w:p>
              </w:tc>
            </w:tr>
          </w:tbl>
          <w:p w:rsidR="005E56C4" w:rsidRPr="005E56C4" w:rsidRDefault="005E56C4" w:rsidP="005E56C4">
            <w:pPr>
              <w:spacing w:after="0" w:line="240" w:lineRule="auto"/>
              <w:rPr>
                <w:rFonts w:ascii="&amp;quot" w:eastAsia="Times New Roman" w:hAnsi="&amp;quot" w:cs="Times New Roman"/>
                <w:color w:val="444444"/>
                <w:sz w:val="18"/>
                <w:szCs w:val="18"/>
                <w:lang w:eastAsia="es-ES"/>
              </w:rPr>
            </w:pPr>
          </w:p>
        </w:tc>
      </w:tr>
    </w:tbl>
    <w:p w:rsidR="005E56C4" w:rsidRPr="005E56C4" w:rsidRDefault="005E56C4" w:rsidP="005E56C4">
      <w:pPr>
        <w:spacing w:after="0" w:line="240" w:lineRule="auto"/>
        <w:outlineLvl w:val="0"/>
        <w:rPr>
          <w:rFonts w:ascii="&amp;quot" w:eastAsia="Times New Roman" w:hAnsi="&amp;quot" w:cs="Times New Roman"/>
          <w:b/>
          <w:bCs/>
          <w:vanish/>
          <w:color w:val="444444"/>
          <w:kern w:val="36"/>
          <w:sz w:val="20"/>
          <w:szCs w:val="20"/>
          <w:lang w:eastAsia="es-ES"/>
        </w:rPr>
      </w:pPr>
    </w:p>
    <w:tbl>
      <w:tblPr>
        <w:tblW w:w="5000" w:type="pct"/>
        <w:tblCellMar>
          <w:left w:w="0" w:type="dxa"/>
          <w:right w:w="0" w:type="dxa"/>
        </w:tblCellMar>
        <w:tblLook w:val="04A0" w:firstRow="1" w:lastRow="0" w:firstColumn="1" w:lastColumn="0" w:noHBand="0" w:noVBand="1"/>
      </w:tblPr>
      <w:tblGrid>
        <w:gridCol w:w="8504"/>
      </w:tblGrid>
      <w:tr w:rsidR="005E56C4" w:rsidRPr="005E56C4" w:rsidTr="005E56C4">
        <w:tc>
          <w:tcPr>
            <w:tcW w:w="0" w:type="auto"/>
            <w:vAlign w:val="center"/>
            <w:hideMark/>
          </w:tcPr>
          <w:tbl>
            <w:tblPr>
              <w:tblW w:w="5000" w:type="pct"/>
              <w:tblCellMar>
                <w:left w:w="0" w:type="dxa"/>
                <w:right w:w="0" w:type="dxa"/>
              </w:tblCellMar>
              <w:tblLook w:val="04A0" w:firstRow="1" w:lastRow="0" w:firstColumn="1" w:lastColumn="0" w:noHBand="0" w:noVBand="1"/>
            </w:tblPr>
            <w:tblGrid>
              <w:gridCol w:w="1701"/>
              <w:gridCol w:w="6803"/>
            </w:tblGrid>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color w:val="767C70"/>
                      <w:sz w:val="18"/>
                      <w:szCs w:val="18"/>
                      <w:lang w:eastAsia="es-ES"/>
                    </w:rPr>
                    <w:t>Título</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b/>
                      <w:bCs/>
                      <w:sz w:val="18"/>
                      <w:szCs w:val="18"/>
                      <w:lang w:eastAsia="es-ES"/>
                    </w:rPr>
                    <w:t xml:space="preserve">Aplicación de los métodos </w:t>
                  </w:r>
                  <w:proofErr w:type="spellStart"/>
                  <w:r w:rsidRPr="005E56C4">
                    <w:rPr>
                      <w:rFonts w:ascii="&amp;quot" w:eastAsia="Times New Roman" w:hAnsi="&amp;quot" w:cs="Times New Roman"/>
                      <w:b/>
                      <w:bCs/>
                      <w:sz w:val="18"/>
                      <w:szCs w:val="18"/>
                      <w:lang w:eastAsia="es-ES"/>
                    </w:rPr>
                    <w:t>Kano</w:t>
                  </w:r>
                  <w:proofErr w:type="spellEnd"/>
                  <w:r w:rsidRPr="005E56C4">
                    <w:rPr>
                      <w:rFonts w:ascii="&amp;quot" w:eastAsia="Times New Roman" w:hAnsi="&amp;quot" w:cs="Times New Roman"/>
                      <w:b/>
                      <w:bCs/>
                      <w:sz w:val="18"/>
                      <w:szCs w:val="18"/>
                      <w:lang w:eastAsia="es-ES"/>
                    </w:rPr>
                    <w:t xml:space="preserve"> y CATA para el desarrollo de </w:t>
                  </w:r>
                  <w:proofErr w:type="spellStart"/>
                  <w:r w:rsidRPr="005E56C4">
                    <w:rPr>
                      <w:rFonts w:ascii="&amp;quot" w:eastAsia="Times New Roman" w:hAnsi="&amp;quot" w:cs="Times New Roman"/>
                      <w:b/>
                      <w:bCs/>
                      <w:sz w:val="18"/>
                      <w:szCs w:val="18"/>
                      <w:lang w:eastAsia="es-ES"/>
                    </w:rPr>
                    <w:t>brownie</w:t>
                  </w:r>
                  <w:proofErr w:type="spellEnd"/>
                  <w:r w:rsidRPr="005E56C4">
                    <w:rPr>
                      <w:rFonts w:ascii="&amp;quot" w:eastAsia="Times New Roman" w:hAnsi="&amp;quot" w:cs="Times New Roman"/>
                      <w:b/>
                      <w:bCs/>
                      <w:sz w:val="18"/>
                      <w:szCs w:val="18"/>
                      <w:lang w:eastAsia="es-ES"/>
                    </w:rPr>
                    <w:t xml:space="preserve"> libre de gluten</w:t>
                  </w:r>
                </w:p>
              </w:tc>
            </w:tr>
          </w:tbl>
          <w:p w:rsidR="005E56C4" w:rsidRPr="005E56C4" w:rsidRDefault="005E56C4" w:rsidP="005E56C4">
            <w:pPr>
              <w:spacing w:after="0" w:line="240" w:lineRule="auto"/>
              <w:rPr>
                <w:rFonts w:ascii="&amp;quot" w:eastAsia="Times New Roman" w:hAnsi="&amp;quot" w:cs="Times New Roman"/>
                <w:sz w:val="18"/>
                <w:szCs w:val="18"/>
                <w:lang w:eastAsia="es-ES"/>
              </w:rPr>
            </w:pPr>
          </w:p>
        </w:tc>
      </w:tr>
    </w:tbl>
    <w:p w:rsidR="005E56C4" w:rsidRPr="005E56C4" w:rsidRDefault="005E56C4" w:rsidP="005E56C4">
      <w:pPr>
        <w:spacing w:after="0" w:line="240" w:lineRule="auto"/>
        <w:rPr>
          <w:rFonts w:ascii="Times New Roman" w:eastAsia="Times New Roman" w:hAnsi="Times New Roman" w:cs="Times New Roman"/>
          <w:vanish/>
          <w:sz w:val="24"/>
          <w:szCs w:val="24"/>
          <w:lang w:eastAsia="es-ES"/>
        </w:rPr>
      </w:pPr>
    </w:p>
    <w:tbl>
      <w:tblPr>
        <w:tblW w:w="5000" w:type="pct"/>
        <w:tblCellMar>
          <w:left w:w="0" w:type="dxa"/>
          <w:right w:w="0" w:type="dxa"/>
        </w:tblCellMar>
        <w:tblLook w:val="04A0" w:firstRow="1" w:lastRow="0" w:firstColumn="1" w:lastColumn="0" w:noHBand="0" w:noVBand="1"/>
      </w:tblPr>
      <w:tblGrid>
        <w:gridCol w:w="8504"/>
      </w:tblGrid>
      <w:tr w:rsidR="005E56C4" w:rsidRPr="005E56C4" w:rsidTr="005E56C4">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701"/>
              <w:gridCol w:w="6803"/>
            </w:tblGrid>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Impreso</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Lima : UNALM, 2019</w:t>
                  </w:r>
                </w:p>
              </w:tc>
            </w:tr>
          </w:tbl>
          <w:p w:rsidR="005E56C4" w:rsidRPr="005E56C4" w:rsidRDefault="005E56C4" w:rsidP="005E56C4">
            <w:pPr>
              <w:spacing w:after="0" w:line="240" w:lineRule="auto"/>
              <w:rPr>
                <w:rFonts w:ascii="&amp;quot" w:eastAsia="Times New Roman" w:hAnsi="&amp;quot" w:cs="Times New Roman"/>
                <w:color w:val="444444"/>
                <w:sz w:val="18"/>
                <w:szCs w:val="18"/>
                <w:lang w:eastAsia="es-ES"/>
              </w:rPr>
            </w:pPr>
          </w:p>
        </w:tc>
      </w:tr>
    </w:tbl>
    <w:p w:rsidR="005E56C4" w:rsidRPr="005E56C4" w:rsidRDefault="005E56C4" w:rsidP="005E56C4">
      <w:pPr>
        <w:spacing w:after="0" w:line="240" w:lineRule="auto"/>
        <w:outlineLvl w:val="1"/>
        <w:rPr>
          <w:rFonts w:ascii="&amp;quot" w:eastAsia="Times New Roman" w:hAnsi="&amp;quot" w:cs="Times New Roman"/>
          <w:b/>
          <w:bCs/>
          <w:color w:val="F7960C"/>
          <w:sz w:val="20"/>
          <w:szCs w:val="20"/>
          <w:lang w:eastAsia="es-ES"/>
        </w:rPr>
      </w:pPr>
      <w:r w:rsidRPr="005E56C4">
        <w:rPr>
          <w:rFonts w:ascii="&amp;quot" w:eastAsia="Times New Roman" w:hAnsi="&amp;quot" w:cs="Times New Roman"/>
          <w:b/>
          <w:bCs/>
          <w:color w:val="F7960C"/>
          <w:sz w:val="20"/>
          <w:szCs w:val="20"/>
          <w:lang w:eastAsia="es-ES"/>
        </w:rPr>
        <w:t>Copias</w:t>
      </w:r>
    </w:p>
    <w:tbl>
      <w:tblPr>
        <w:tblW w:w="5000" w:type="pct"/>
        <w:tblCellMar>
          <w:left w:w="0" w:type="dxa"/>
          <w:right w:w="0" w:type="dxa"/>
        </w:tblCellMar>
        <w:tblLook w:val="04A0" w:firstRow="1" w:lastRow="0" w:firstColumn="1" w:lastColumn="0" w:noHBand="0" w:noVBand="1"/>
      </w:tblPr>
      <w:tblGrid>
        <w:gridCol w:w="3402"/>
        <w:gridCol w:w="2211"/>
        <w:gridCol w:w="2891"/>
      </w:tblGrid>
      <w:tr w:rsidR="005E56C4" w:rsidRPr="005E56C4" w:rsidTr="005E56C4">
        <w:tc>
          <w:tcPr>
            <w:tcW w:w="2000" w:type="pct"/>
            <w:shd w:val="clear" w:color="auto" w:fill="auto"/>
            <w:tcMar>
              <w:top w:w="15" w:type="dxa"/>
              <w:left w:w="120" w:type="dxa"/>
              <w:bottom w:w="15" w:type="dxa"/>
              <w:right w:w="120" w:type="dxa"/>
            </w:tcMar>
            <w:vAlign w:val="center"/>
            <w:hideMark/>
          </w:tcPr>
          <w:p w:rsidR="005E56C4" w:rsidRPr="005E56C4" w:rsidRDefault="005E56C4" w:rsidP="005E56C4">
            <w:pPr>
              <w:spacing w:after="0" w:line="240" w:lineRule="auto"/>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 xml:space="preserve">Ubicación </w:t>
            </w:r>
          </w:p>
        </w:tc>
        <w:tc>
          <w:tcPr>
            <w:tcW w:w="1300" w:type="pct"/>
            <w:shd w:val="clear" w:color="auto" w:fill="auto"/>
            <w:tcMar>
              <w:top w:w="15" w:type="dxa"/>
              <w:left w:w="120" w:type="dxa"/>
              <w:bottom w:w="15" w:type="dxa"/>
              <w:right w:w="120" w:type="dxa"/>
            </w:tcMar>
            <w:vAlign w:val="center"/>
            <w:hideMark/>
          </w:tcPr>
          <w:p w:rsidR="005E56C4" w:rsidRPr="005E56C4" w:rsidRDefault="005E56C4" w:rsidP="005E56C4">
            <w:pPr>
              <w:spacing w:after="0" w:line="240" w:lineRule="auto"/>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 xml:space="preserve">Código </w:t>
            </w:r>
          </w:p>
        </w:tc>
        <w:tc>
          <w:tcPr>
            <w:tcW w:w="1700" w:type="pct"/>
            <w:shd w:val="clear" w:color="auto" w:fill="auto"/>
            <w:tcMar>
              <w:top w:w="15" w:type="dxa"/>
              <w:left w:w="120" w:type="dxa"/>
              <w:bottom w:w="15" w:type="dxa"/>
              <w:right w:w="120" w:type="dxa"/>
            </w:tcMar>
            <w:vAlign w:val="center"/>
            <w:hideMark/>
          </w:tcPr>
          <w:p w:rsidR="005E56C4" w:rsidRPr="005E56C4" w:rsidRDefault="005E56C4" w:rsidP="005E56C4">
            <w:pPr>
              <w:spacing w:after="0" w:line="240" w:lineRule="auto"/>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 xml:space="preserve">Estado </w:t>
            </w:r>
          </w:p>
        </w:tc>
      </w:tr>
      <w:tr w:rsidR="005E56C4" w:rsidRPr="005E56C4" w:rsidTr="005E56C4">
        <w:tc>
          <w:tcPr>
            <w:tcW w:w="2000" w:type="pct"/>
            <w:tcBorders>
              <w:top w:val="single" w:sz="6" w:space="0" w:color="ECECEC"/>
              <w:bottom w:val="nil"/>
            </w:tcBorders>
            <w:shd w:val="clear" w:color="auto" w:fill="auto"/>
            <w:tcMar>
              <w:top w:w="15" w:type="dxa"/>
              <w:left w:w="120" w:type="dxa"/>
              <w:bottom w:w="15" w:type="dxa"/>
              <w:right w:w="120" w:type="dxa"/>
            </w:tcMar>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 xml:space="preserve"> Sala Tesis </w:t>
            </w:r>
          </w:p>
        </w:tc>
        <w:tc>
          <w:tcPr>
            <w:tcW w:w="1300" w:type="pct"/>
            <w:tcBorders>
              <w:top w:val="single" w:sz="6" w:space="0" w:color="ECECEC"/>
              <w:bottom w:val="nil"/>
            </w:tcBorders>
            <w:shd w:val="clear" w:color="auto" w:fill="auto"/>
            <w:tcMar>
              <w:top w:w="15" w:type="dxa"/>
              <w:left w:w="120" w:type="dxa"/>
              <w:bottom w:w="15" w:type="dxa"/>
              <w:right w:w="120" w:type="dxa"/>
            </w:tcMar>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 </w:t>
            </w:r>
            <w:hyperlink r:id="rId6" w:history="1">
              <w:r w:rsidRPr="005E56C4">
                <w:rPr>
                  <w:rFonts w:ascii="Arial" w:eastAsia="Times New Roman" w:hAnsi="Arial" w:cs="Arial"/>
                  <w:b/>
                  <w:bCs/>
                  <w:color w:val="014184"/>
                  <w:sz w:val="18"/>
                  <w:szCs w:val="18"/>
                  <w:u w:val="single"/>
                  <w:lang w:eastAsia="es-ES"/>
                </w:rPr>
                <w:t>Q04. L557 - T</w:t>
              </w:r>
            </w:hyperlink>
            <w:r w:rsidRPr="005E56C4">
              <w:rPr>
                <w:rFonts w:ascii="&amp;quot" w:eastAsia="Times New Roman" w:hAnsi="&amp;quot" w:cs="Times New Roman"/>
                <w:sz w:val="18"/>
                <w:szCs w:val="18"/>
                <w:lang w:eastAsia="es-ES"/>
              </w:rPr>
              <w:t xml:space="preserve">  </w:t>
            </w:r>
          </w:p>
        </w:tc>
        <w:tc>
          <w:tcPr>
            <w:tcW w:w="1700" w:type="pct"/>
            <w:tcBorders>
              <w:top w:val="single" w:sz="6" w:space="0" w:color="ECECEC"/>
              <w:bottom w:val="nil"/>
            </w:tcBorders>
            <w:shd w:val="clear" w:color="auto" w:fill="auto"/>
            <w:tcMar>
              <w:top w:w="15" w:type="dxa"/>
              <w:left w:w="120" w:type="dxa"/>
              <w:bottom w:w="15" w:type="dxa"/>
              <w:right w:w="120" w:type="dxa"/>
            </w:tcMar>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 xml:space="preserve"> USO EN SALA </w:t>
            </w:r>
          </w:p>
        </w:tc>
      </w:tr>
      <w:tr w:rsidR="005E56C4" w:rsidRPr="0021792C" w:rsidTr="005E56C4">
        <w:tc>
          <w:tcPr>
            <w:tcW w:w="0" w:type="auto"/>
            <w:gridSpan w:val="3"/>
            <w:vAlign w:val="center"/>
            <w:hideMark/>
          </w:tcPr>
          <w:tbl>
            <w:tblPr>
              <w:tblW w:w="5000" w:type="pct"/>
              <w:tblCellMar>
                <w:left w:w="0" w:type="dxa"/>
                <w:right w:w="0" w:type="dxa"/>
              </w:tblCellMar>
              <w:tblLook w:val="04A0" w:firstRow="1" w:lastRow="0" w:firstColumn="1" w:lastColumn="0" w:noHBand="0" w:noVBand="1"/>
            </w:tblPr>
            <w:tblGrid>
              <w:gridCol w:w="1701"/>
              <w:gridCol w:w="6803"/>
            </w:tblGrid>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Descripción</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124 p</w:t>
                  </w:r>
                  <w:proofErr w:type="gramStart"/>
                  <w:r w:rsidRPr="005E56C4">
                    <w:rPr>
                      <w:rFonts w:ascii="&amp;quot" w:eastAsia="Times New Roman" w:hAnsi="&amp;quot" w:cs="Times New Roman"/>
                      <w:sz w:val="18"/>
                      <w:szCs w:val="18"/>
                      <w:lang w:eastAsia="es-ES"/>
                    </w:rPr>
                    <w:t>. :</w:t>
                  </w:r>
                  <w:proofErr w:type="gramEnd"/>
                  <w:r w:rsidRPr="005E56C4">
                    <w:rPr>
                      <w:rFonts w:ascii="&amp;quot" w:eastAsia="Times New Roman" w:hAnsi="&amp;quot" w:cs="Times New Roman"/>
                      <w:sz w:val="18"/>
                      <w:szCs w:val="18"/>
                      <w:lang w:eastAsia="es-ES"/>
                    </w:rPr>
                    <w:t xml:space="preserve"> 17 fig., 17 cuadros, 103 ref. Incluye CD ROM</w:t>
                  </w:r>
                </w:p>
              </w:tc>
            </w:tr>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Tesis</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Tesis (</w:t>
                  </w:r>
                  <w:proofErr w:type="spellStart"/>
                  <w:r w:rsidRPr="005E56C4">
                    <w:rPr>
                      <w:rFonts w:ascii="&amp;quot" w:eastAsia="Times New Roman" w:hAnsi="&amp;quot" w:cs="Times New Roman"/>
                      <w:sz w:val="18"/>
                      <w:szCs w:val="18"/>
                      <w:lang w:eastAsia="es-ES"/>
                    </w:rPr>
                    <w:t>Mag</w:t>
                  </w:r>
                  <w:proofErr w:type="spellEnd"/>
                  <w:r w:rsidRPr="005E56C4">
                    <w:rPr>
                      <w:rFonts w:ascii="&amp;quot" w:eastAsia="Times New Roman" w:hAnsi="&amp;quot" w:cs="Times New Roman"/>
                      <w:sz w:val="18"/>
                      <w:szCs w:val="18"/>
                      <w:lang w:eastAsia="es-ES"/>
                    </w:rPr>
                    <w:t xml:space="preserve"> Sc)</w:t>
                  </w:r>
                </w:p>
              </w:tc>
            </w:tr>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Bibliografía</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Posgrado : Tecnología de Alimentos</w:t>
                  </w:r>
                </w:p>
              </w:tc>
            </w:tr>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Sumario</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eastAsia="es-ES"/>
                    </w:rPr>
                  </w:pPr>
                  <w:r w:rsidRPr="005E56C4">
                    <w:rPr>
                      <w:rFonts w:ascii="&amp;quot" w:eastAsia="Times New Roman" w:hAnsi="&amp;quot" w:cs="Times New Roman"/>
                      <w:sz w:val="18"/>
                      <w:szCs w:val="18"/>
                      <w:lang w:eastAsia="es-ES"/>
                    </w:rPr>
                    <w:t>Sumarios (En, Es)</w:t>
                  </w:r>
                </w:p>
              </w:tc>
            </w:tr>
            <w:tr w:rsidR="005E56C4" w:rsidRPr="005E56C4">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Materia</w:t>
                  </w: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7" w:history="1">
                    <w:r w:rsidR="005E56C4" w:rsidRPr="005E56C4">
                      <w:rPr>
                        <w:rFonts w:ascii="Arial" w:eastAsia="Times New Roman" w:hAnsi="Arial" w:cs="Arial"/>
                        <w:b/>
                        <w:bCs/>
                        <w:color w:val="014184"/>
                        <w:sz w:val="18"/>
                        <w:szCs w:val="18"/>
                        <w:u w:val="single"/>
                        <w:lang w:eastAsia="es-ES"/>
                      </w:rPr>
                      <w:t>PASTELES</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8" w:history="1">
                    <w:r w:rsidR="005E56C4" w:rsidRPr="005E56C4">
                      <w:rPr>
                        <w:rFonts w:ascii="Arial" w:eastAsia="Times New Roman" w:hAnsi="Arial" w:cs="Arial"/>
                        <w:b/>
                        <w:bCs/>
                        <w:color w:val="014184"/>
                        <w:sz w:val="18"/>
                        <w:szCs w:val="18"/>
                        <w:u w:val="single"/>
                        <w:lang w:eastAsia="es-ES"/>
                      </w:rPr>
                      <w:t>PRODUCTOS DE PANADERIA</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9" w:history="1">
                    <w:r w:rsidR="005E56C4" w:rsidRPr="005E56C4">
                      <w:rPr>
                        <w:rFonts w:ascii="Arial" w:eastAsia="Times New Roman" w:hAnsi="Arial" w:cs="Arial"/>
                        <w:b/>
                        <w:bCs/>
                        <w:color w:val="014184"/>
                        <w:sz w:val="18"/>
                        <w:szCs w:val="18"/>
                        <w:u w:val="single"/>
                        <w:lang w:eastAsia="es-ES"/>
                      </w:rPr>
                      <w:t>GLUTEN</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0" w:history="1">
                    <w:r w:rsidR="005E56C4" w:rsidRPr="005E56C4">
                      <w:rPr>
                        <w:rFonts w:ascii="Arial" w:eastAsia="Times New Roman" w:hAnsi="Arial" w:cs="Arial"/>
                        <w:b/>
                        <w:bCs/>
                        <w:color w:val="014184"/>
                        <w:sz w:val="18"/>
                        <w:szCs w:val="18"/>
                        <w:u w:val="single"/>
                        <w:lang w:eastAsia="es-ES"/>
                      </w:rPr>
                      <w:t>PROCESAMIENTO</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1" w:history="1">
                    <w:r w:rsidR="005E56C4" w:rsidRPr="005E56C4">
                      <w:rPr>
                        <w:rFonts w:ascii="Arial" w:eastAsia="Times New Roman" w:hAnsi="Arial" w:cs="Arial"/>
                        <w:b/>
                        <w:bCs/>
                        <w:color w:val="014184"/>
                        <w:sz w:val="18"/>
                        <w:szCs w:val="18"/>
                        <w:u w:val="single"/>
                        <w:lang w:eastAsia="es-ES"/>
                      </w:rPr>
                      <w:t>PROPIEDADES ORGANOLEPTICAS</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2" w:history="1">
                    <w:r w:rsidR="005E56C4" w:rsidRPr="005E56C4">
                      <w:rPr>
                        <w:rFonts w:ascii="Arial" w:eastAsia="Times New Roman" w:hAnsi="Arial" w:cs="Arial"/>
                        <w:b/>
                        <w:bCs/>
                        <w:color w:val="014184"/>
                        <w:sz w:val="18"/>
                        <w:szCs w:val="18"/>
                        <w:u w:val="single"/>
                        <w:lang w:eastAsia="es-ES"/>
                      </w:rPr>
                      <w:t>ANALISIS ORGANOLEPTICO</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3" w:history="1">
                    <w:r w:rsidR="005E56C4" w:rsidRPr="005E56C4">
                      <w:rPr>
                        <w:rFonts w:ascii="Arial" w:eastAsia="Times New Roman" w:hAnsi="Arial" w:cs="Arial"/>
                        <w:b/>
                        <w:bCs/>
                        <w:color w:val="014184"/>
                        <w:sz w:val="18"/>
                        <w:szCs w:val="18"/>
                        <w:u w:val="single"/>
                        <w:lang w:eastAsia="es-ES"/>
                      </w:rPr>
                      <w:t>CONSUMIDORES</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4" w:history="1">
                    <w:r w:rsidR="005E56C4" w:rsidRPr="005E56C4">
                      <w:rPr>
                        <w:rFonts w:ascii="Arial" w:eastAsia="Times New Roman" w:hAnsi="Arial" w:cs="Arial"/>
                        <w:b/>
                        <w:bCs/>
                        <w:color w:val="014184"/>
                        <w:sz w:val="18"/>
                        <w:szCs w:val="18"/>
                        <w:u w:val="single"/>
                        <w:lang w:eastAsia="es-ES"/>
                      </w:rPr>
                      <w:t>COMPORTAMIENTO DEL CONSUMIDOR</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5" w:history="1">
                    <w:r w:rsidR="005E56C4" w:rsidRPr="005E56C4">
                      <w:rPr>
                        <w:rFonts w:ascii="Arial" w:eastAsia="Times New Roman" w:hAnsi="Arial" w:cs="Arial"/>
                        <w:b/>
                        <w:bCs/>
                        <w:color w:val="014184"/>
                        <w:sz w:val="18"/>
                        <w:szCs w:val="18"/>
                        <w:u w:val="single"/>
                        <w:lang w:eastAsia="es-ES"/>
                      </w:rPr>
                      <w:t>METODOS</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6" w:history="1">
                    <w:r w:rsidR="005E56C4" w:rsidRPr="005E56C4">
                      <w:rPr>
                        <w:rFonts w:ascii="Arial" w:eastAsia="Times New Roman" w:hAnsi="Arial" w:cs="Arial"/>
                        <w:b/>
                        <w:bCs/>
                        <w:color w:val="014184"/>
                        <w:sz w:val="18"/>
                        <w:szCs w:val="18"/>
                        <w:u w:val="single"/>
                        <w:lang w:eastAsia="es-ES"/>
                      </w:rPr>
                      <w:t>PERU</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7" w:history="1">
                    <w:r w:rsidR="005E56C4" w:rsidRPr="005E56C4">
                      <w:rPr>
                        <w:rFonts w:ascii="Arial" w:eastAsia="Times New Roman" w:hAnsi="Arial" w:cs="Arial"/>
                        <w:b/>
                        <w:bCs/>
                        <w:color w:val="014184"/>
                        <w:sz w:val="18"/>
                        <w:szCs w:val="18"/>
                        <w:u w:val="single"/>
                        <w:lang w:eastAsia="es-ES"/>
                      </w:rPr>
                      <w:t>BIZCOCHO DE CHOCOLATE</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8" w:history="1">
                    <w:r w:rsidR="005E56C4" w:rsidRPr="005E56C4">
                      <w:rPr>
                        <w:rFonts w:ascii="Arial" w:eastAsia="Times New Roman" w:hAnsi="Arial" w:cs="Arial"/>
                        <w:b/>
                        <w:bCs/>
                        <w:color w:val="014184"/>
                        <w:sz w:val="18"/>
                        <w:szCs w:val="18"/>
                        <w:u w:val="single"/>
                        <w:lang w:eastAsia="es-ES"/>
                      </w:rPr>
                      <w:t>METODOS DE DEGUSTACION</w:t>
                    </w:r>
                  </w:hyperlink>
                  <w:r w:rsidR="005E56C4" w:rsidRPr="005E56C4">
                    <w:rPr>
                      <w:rFonts w:ascii="&amp;quot" w:eastAsia="Times New Roman" w:hAnsi="&amp;quot" w:cs="Times New Roman"/>
                      <w:sz w:val="18"/>
                      <w:szCs w:val="18"/>
                      <w:lang w:eastAsia="es-ES"/>
                    </w:rPr>
                    <w:t xml:space="preserve"> </w:t>
                  </w:r>
                </w:p>
              </w:tc>
            </w:tr>
            <w:tr w:rsidR="005E56C4" w:rsidRPr="005E56C4">
              <w:tc>
                <w:tcPr>
                  <w:tcW w:w="0" w:type="auto"/>
                  <w:vAlign w:val="center"/>
                  <w:hideMark/>
                </w:tcPr>
                <w:p w:rsidR="005E56C4" w:rsidRPr="005E56C4" w:rsidRDefault="005E56C4" w:rsidP="005E56C4">
                  <w:pPr>
                    <w:spacing w:after="0" w:line="240" w:lineRule="auto"/>
                    <w:rPr>
                      <w:rFonts w:ascii="&amp;quot" w:eastAsia="Times New Roman" w:hAnsi="&amp;quot" w:cs="Times New Roman"/>
                      <w:sz w:val="18"/>
                      <w:szCs w:val="18"/>
                      <w:lang w:eastAsia="es-ES"/>
                    </w:rPr>
                  </w:pPr>
                </w:p>
              </w:tc>
              <w:tc>
                <w:tcPr>
                  <w:tcW w:w="0" w:type="auto"/>
                  <w:hideMark/>
                </w:tcPr>
                <w:p w:rsidR="005E56C4" w:rsidRPr="005E56C4" w:rsidRDefault="0021792C" w:rsidP="005E56C4">
                  <w:pPr>
                    <w:spacing w:after="0" w:line="240" w:lineRule="auto"/>
                    <w:rPr>
                      <w:rFonts w:ascii="&amp;quot" w:eastAsia="Times New Roman" w:hAnsi="&amp;quot" w:cs="Times New Roman"/>
                      <w:sz w:val="18"/>
                      <w:szCs w:val="18"/>
                      <w:lang w:eastAsia="es-ES"/>
                    </w:rPr>
                  </w:pPr>
                  <w:hyperlink r:id="rId19" w:history="1">
                    <w:r w:rsidR="005E56C4" w:rsidRPr="005E56C4">
                      <w:rPr>
                        <w:rFonts w:ascii="Arial" w:eastAsia="Times New Roman" w:hAnsi="Arial" w:cs="Arial"/>
                        <w:b/>
                        <w:bCs/>
                        <w:color w:val="014184"/>
                        <w:sz w:val="18"/>
                        <w:szCs w:val="18"/>
                        <w:u w:val="single"/>
                        <w:lang w:eastAsia="es-ES"/>
                      </w:rPr>
                      <w:t>PASTELES SIN GLUTEN</w:t>
                    </w:r>
                  </w:hyperlink>
                  <w:r w:rsidR="005E56C4" w:rsidRPr="005E56C4">
                    <w:rPr>
                      <w:rFonts w:ascii="&amp;quot" w:eastAsia="Times New Roman" w:hAnsi="&amp;quot" w:cs="Times New Roman"/>
                      <w:sz w:val="18"/>
                      <w:szCs w:val="18"/>
                      <w:lang w:eastAsia="es-ES"/>
                    </w:rPr>
                    <w:t xml:space="preserve"> </w:t>
                  </w:r>
                </w:p>
              </w:tc>
            </w:tr>
            <w:tr w:rsidR="005E56C4" w:rsidRPr="0021792C">
              <w:tc>
                <w:tcPr>
                  <w:tcW w:w="1000" w:type="pct"/>
                  <w:tcMar>
                    <w:top w:w="0" w:type="dxa"/>
                    <w:left w:w="0" w:type="dxa"/>
                    <w:bottom w:w="0" w:type="dxa"/>
                    <w:right w:w="126" w:type="dxa"/>
                  </w:tcMar>
                  <w:hideMark/>
                </w:tcPr>
                <w:p w:rsidR="005E56C4" w:rsidRPr="005E56C4" w:rsidRDefault="005E56C4" w:rsidP="005E56C4">
                  <w:pPr>
                    <w:spacing w:after="0" w:line="240" w:lineRule="auto"/>
                    <w:jc w:val="right"/>
                    <w:rPr>
                      <w:rFonts w:ascii="&amp;quot" w:eastAsia="Times New Roman" w:hAnsi="&amp;quot" w:cs="Times New Roman"/>
                      <w:b/>
                      <w:bCs/>
                      <w:color w:val="767C70"/>
                      <w:sz w:val="18"/>
                      <w:szCs w:val="18"/>
                      <w:lang w:eastAsia="es-ES"/>
                    </w:rPr>
                  </w:pPr>
                  <w:r w:rsidRPr="005E56C4">
                    <w:rPr>
                      <w:rFonts w:ascii="&amp;quot" w:eastAsia="Times New Roman" w:hAnsi="&amp;quot" w:cs="Times New Roman"/>
                      <w:b/>
                      <w:bCs/>
                      <w:color w:val="767C70"/>
                      <w:sz w:val="18"/>
                      <w:szCs w:val="18"/>
                      <w:lang w:eastAsia="es-ES"/>
                    </w:rPr>
                    <w:t>Nº estándar</w:t>
                  </w:r>
                </w:p>
              </w:tc>
              <w:tc>
                <w:tcPr>
                  <w:tcW w:w="0" w:type="auto"/>
                  <w:hideMark/>
                </w:tcPr>
                <w:p w:rsidR="005E56C4" w:rsidRPr="005E56C4" w:rsidRDefault="005E56C4" w:rsidP="005E56C4">
                  <w:pPr>
                    <w:spacing w:after="0" w:line="240" w:lineRule="auto"/>
                    <w:rPr>
                      <w:rFonts w:ascii="&amp;quot" w:eastAsia="Times New Roman" w:hAnsi="&amp;quot" w:cs="Times New Roman"/>
                      <w:sz w:val="18"/>
                      <w:szCs w:val="18"/>
                      <w:lang w:val="en-US" w:eastAsia="es-ES"/>
                    </w:rPr>
                  </w:pPr>
                  <w:r w:rsidRPr="005E56C4">
                    <w:rPr>
                      <w:rFonts w:ascii="&amp;quot" w:eastAsia="Times New Roman" w:hAnsi="&amp;quot" w:cs="Times New Roman"/>
                      <w:sz w:val="18"/>
                      <w:szCs w:val="18"/>
                      <w:lang w:val="en-US" w:eastAsia="es-ES"/>
                    </w:rPr>
                    <w:t>PE2019000379 B / M EUVZ Q04; S01</w:t>
                  </w:r>
                </w:p>
              </w:tc>
            </w:tr>
          </w:tbl>
          <w:p w:rsidR="005E56C4" w:rsidRPr="005E56C4" w:rsidRDefault="005E56C4" w:rsidP="005E56C4">
            <w:pPr>
              <w:spacing w:after="0" w:line="240" w:lineRule="auto"/>
              <w:rPr>
                <w:rFonts w:ascii="&amp;quot" w:eastAsia="Times New Roman" w:hAnsi="&amp;quot" w:cs="Times New Roman"/>
                <w:sz w:val="18"/>
                <w:szCs w:val="18"/>
                <w:lang w:val="en-US" w:eastAsia="es-ES"/>
              </w:rPr>
            </w:pPr>
          </w:p>
        </w:tc>
      </w:tr>
    </w:tbl>
    <w:p w:rsidR="005E56C4" w:rsidRPr="005E56C4" w:rsidRDefault="005E56C4">
      <w:pPr>
        <w:rPr>
          <w:lang w:val="en-US"/>
        </w:rPr>
      </w:pPr>
    </w:p>
    <w:p w:rsidR="005E56C4" w:rsidRPr="005E56C4" w:rsidRDefault="005E56C4" w:rsidP="005E56C4">
      <w:pPr>
        <w:jc w:val="both"/>
        <w:rPr>
          <w:sz w:val="24"/>
          <w:szCs w:val="24"/>
          <w:lang w:val="en-US"/>
        </w:rPr>
      </w:pPr>
    </w:p>
    <w:p w:rsidR="005E56C4" w:rsidRPr="005E56C4" w:rsidRDefault="005E56C4" w:rsidP="005E56C4">
      <w:pPr>
        <w:jc w:val="both"/>
        <w:rPr>
          <w:rFonts w:ascii="Arial" w:hAnsi="Arial" w:cs="Arial"/>
          <w:color w:val="444444"/>
          <w:sz w:val="24"/>
          <w:szCs w:val="24"/>
        </w:rPr>
      </w:pPr>
      <w:r w:rsidRPr="005E56C4">
        <w:rPr>
          <w:rFonts w:ascii="Arial" w:hAnsi="Arial" w:cs="Arial"/>
          <w:color w:val="444444"/>
          <w:sz w:val="24"/>
          <w:szCs w:val="24"/>
        </w:rPr>
        <w:t xml:space="preserve">Se desarrolló un </w:t>
      </w:r>
      <w:proofErr w:type="spellStart"/>
      <w:r w:rsidRPr="005E56C4">
        <w:rPr>
          <w:rFonts w:ascii="Arial" w:hAnsi="Arial" w:cs="Arial"/>
          <w:color w:val="444444"/>
          <w:sz w:val="24"/>
          <w:szCs w:val="24"/>
        </w:rPr>
        <w:t>brownie</w:t>
      </w:r>
      <w:proofErr w:type="spellEnd"/>
      <w:r w:rsidRPr="005E56C4">
        <w:rPr>
          <w:rFonts w:ascii="Arial" w:hAnsi="Arial" w:cs="Arial"/>
          <w:color w:val="444444"/>
          <w:sz w:val="24"/>
          <w:szCs w:val="24"/>
        </w:rPr>
        <w:t xml:space="preserve"> libre de gluten con características atractivas para el consumidor obtenidas de la aplicación del modelo </w:t>
      </w:r>
      <w:proofErr w:type="spellStart"/>
      <w:r w:rsidRPr="005E56C4">
        <w:rPr>
          <w:rFonts w:ascii="Arial" w:hAnsi="Arial" w:cs="Arial"/>
          <w:color w:val="444444"/>
          <w:sz w:val="24"/>
          <w:szCs w:val="24"/>
        </w:rPr>
        <w:t>Kano</w:t>
      </w:r>
      <w:proofErr w:type="spellEnd"/>
      <w:r w:rsidRPr="005E56C4">
        <w:rPr>
          <w:rFonts w:ascii="Arial" w:hAnsi="Arial" w:cs="Arial"/>
          <w:color w:val="444444"/>
          <w:sz w:val="24"/>
          <w:szCs w:val="24"/>
        </w:rPr>
        <w:t xml:space="preserve"> y la metodología marque todo lo que corresponda (CATA). Se empleó el perfil de libre elección combinado con el método de la rejilla para obtener descriptores sensoriales los cuales se usaron en los cuestionarios </w:t>
      </w:r>
      <w:proofErr w:type="spellStart"/>
      <w:r w:rsidRPr="005E56C4">
        <w:rPr>
          <w:rFonts w:ascii="Arial" w:hAnsi="Arial" w:cs="Arial"/>
          <w:color w:val="444444"/>
          <w:sz w:val="24"/>
          <w:szCs w:val="24"/>
        </w:rPr>
        <w:t>Kano</w:t>
      </w:r>
      <w:proofErr w:type="spellEnd"/>
      <w:r w:rsidRPr="005E56C4">
        <w:rPr>
          <w:rFonts w:ascii="Arial" w:hAnsi="Arial" w:cs="Arial"/>
          <w:color w:val="444444"/>
          <w:sz w:val="24"/>
          <w:szCs w:val="24"/>
        </w:rPr>
        <w:t xml:space="preserve"> y CATA, estos fueron: dureza, suavidad, dulzor, salado, sabor a chocolate amargo, crocante, presencia de cristales de azúcar, </w:t>
      </w:r>
      <w:proofErr w:type="spellStart"/>
      <w:r w:rsidRPr="005E56C4">
        <w:rPr>
          <w:rFonts w:ascii="Arial" w:hAnsi="Arial" w:cs="Arial"/>
          <w:color w:val="444444"/>
          <w:sz w:val="24"/>
          <w:szCs w:val="24"/>
        </w:rPr>
        <w:t>chiclosidad</w:t>
      </w:r>
      <w:proofErr w:type="spellEnd"/>
      <w:r w:rsidRPr="005E56C4">
        <w:rPr>
          <w:rFonts w:ascii="Arial" w:hAnsi="Arial" w:cs="Arial"/>
          <w:color w:val="444444"/>
          <w:sz w:val="24"/>
          <w:szCs w:val="24"/>
        </w:rPr>
        <w:t xml:space="preserve">, color oscuro, presencia de frutos secos, </w:t>
      </w:r>
      <w:proofErr w:type="spellStart"/>
      <w:r w:rsidRPr="005E56C4">
        <w:rPr>
          <w:rFonts w:ascii="Arial" w:hAnsi="Arial" w:cs="Arial"/>
          <w:color w:val="444444"/>
          <w:sz w:val="24"/>
          <w:szCs w:val="24"/>
        </w:rPr>
        <w:t>aceitosidad</w:t>
      </w:r>
      <w:proofErr w:type="spellEnd"/>
      <w:r w:rsidRPr="005E56C4">
        <w:rPr>
          <w:rFonts w:ascii="Arial" w:hAnsi="Arial" w:cs="Arial"/>
          <w:color w:val="444444"/>
          <w:sz w:val="24"/>
          <w:szCs w:val="24"/>
        </w:rPr>
        <w:t xml:space="preserve">, humedad, superficie crujiente y ligamiento. Posteriormente se empleó el modelo </w:t>
      </w:r>
      <w:proofErr w:type="spellStart"/>
      <w:r w:rsidRPr="005E56C4">
        <w:rPr>
          <w:rFonts w:ascii="Arial" w:hAnsi="Arial" w:cs="Arial"/>
          <w:color w:val="444444"/>
          <w:sz w:val="24"/>
          <w:szCs w:val="24"/>
        </w:rPr>
        <w:t>Kano</w:t>
      </w:r>
      <w:proofErr w:type="spellEnd"/>
      <w:r w:rsidRPr="005E56C4">
        <w:rPr>
          <w:rFonts w:ascii="Arial" w:hAnsi="Arial" w:cs="Arial"/>
          <w:color w:val="444444"/>
          <w:sz w:val="24"/>
          <w:szCs w:val="24"/>
        </w:rPr>
        <w:t xml:space="preserve"> para determinar las características de atractivas de los </w:t>
      </w:r>
      <w:proofErr w:type="spellStart"/>
      <w:r w:rsidRPr="005E56C4">
        <w:rPr>
          <w:rFonts w:ascii="Arial" w:hAnsi="Arial" w:cs="Arial"/>
          <w:color w:val="444444"/>
          <w:sz w:val="24"/>
          <w:szCs w:val="24"/>
        </w:rPr>
        <w:t>brownies</w:t>
      </w:r>
      <w:proofErr w:type="spellEnd"/>
      <w:r w:rsidRPr="005E56C4">
        <w:rPr>
          <w:rFonts w:ascii="Arial" w:hAnsi="Arial" w:cs="Arial"/>
          <w:color w:val="444444"/>
          <w:sz w:val="24"/>
          <w:szCs w:val="24"/>
        </w:rPr>
        <w:t xml:space="preserve">, las cuales resultaron: sabor a chocolate amargo, crocante y presencia de frutos secos. Se evaluaron tres muestras de </w:t>
      </w:r>
      <w:proofErr w:type="spellStart"/>
      <w:r w:rsidRPr="005E56C4">
        <w:rPr>
          <w:rFonts w:ascii="Arial" w:hAnsi="Arial" w:cs="Arial"/>
          <w:color w:val="444444"/>
          <w:sz w:val="24"/>
          <w:szCs w:val="24"/>
        </w:rPr>
        <w:t>brownies</w:t>
      </w:r>
      <w:proofErr w:type="spellEnd"/>
      <w:r w:rsidRPr="005E56C4">
        <w:rPr>
          <w:rFonts w:ascii="Arial" w:hAnsi="Arial" w:cs="Arial"/>
          <w:color w:val="444444"/>
          <w:sz w:val="24"/>
          <w:szCs w:val="24"/>
        </w:rPr>
        <w:t xml:space="preserve">: dos formulaciones libres de gluten (F y G) y una marca comercial (D). La muestra F contuvo en su formulación cobertura de chocolate y castañas; y la muestra G contuvo cacao en polvo. La metodología CATA permitió describir sensorialmente a las muestras de </w:t>
      </w:r>
      <w:proofErr w:type="spellStart"/>
      <w:r w:rsidRPr="005E56C4">
        <w:rPr>
          <w:rFonts w:ascii="Arial" w:hAnsi="Arial" w:cs="Arial"/>
          <w:color w:val="444444"/>
          <w:sz w:val="24"/>
          <w:szCs w:val="24"/>
        </w:rPr>
        <w:t>brownie</w:t>
      </w:r>
      <w:proofErr w:type="spellEnd"/>
      <w:r w:rsidRPr="005E56C4">
        <w:rPr>
          <w:rFonts w:ascii="Arial" w:hAnsi="Arial" w:cs="Arial"/>
          <w:color w:val="444444"/>
          <w:sz w:val="24"/>
          <w:szCs w:val="24"/>
        </w:rPr>
        <w:t xml:space="preserve">. La muestra D se asoció a los términos: crocante, superficie crujiente, presencia de cristales de azúcar, duro y de masa compacta; la muestra F a: presencia de frutos secos, húmedo y dulce; y la muestra G a: color oscuro, sabor a chocolate amargo y suave. Por otro lado, se caracterizaron a las mismas muestras empleando el análisis descriptivo cuantitativo (QDA). La muestra D se caracterizó por su dulzor y baja intensidad en color marrón y amargor; la muestra F se caracterizó por presentar los atributos de humedad, masa heterogénea, costra superficial y </w:t>
      </w:r>
      <w:proofErr w:type="spellStart"/>
      <w:r w:rsidRPr="005E56C4">
        <w:rPr>
          <w:rFonts w:ascii="Arial" w:hAnsi="Arial" w:cs="Arial"/>
          <w:color w:val="444444"/>
          <w:sz w:val="24"/>
          <w:szCs w:val="24"/>
        </w:rPr>
        <w:t>aceitosidad</w:t>
      </w:r>
      <w:proofErr w:type="spellEnd"/>
      <w:r w:rsidRPr="005E56C4">
        <w:rPr>
          <w:rFonts w:ascii="Arial" w:hAnsi="Arial" w:cs="Arial"/>
          <w:color w:val="444444"/>
          <w:sz w:val="24"/>
          <w:szCs w:val="24"/>
        </w:rPr>
        <w:t xml:space="preserve">; y la muestra G se caracterizó por amargor y color marrón. </w:t>
      </w:r>
      <w:r w:rsidRPr="005E56C4">
        <w:rPr>
          <w:rFonts w:ascii="Arial" w:hAnsi="Arial" w:cs="Arial"/>
          <w:color w:val="444444"/>
          <w:sz w:val="24"/>
          <w:szCs w:val="24"/>
        </w:rPr>
        <w:lastRenderedPageBreak/>
        <w:t>Finalmente, se evaluó la asociación entre el QDA y CATA mediante el coeficiente RV el cual resultó 0,92 (p-valor = 0,00) sugiriendo una muy buena correlación entre estas metodologías de evaluación.</w:t>
      </w:r>
    </w:p>
    <w:p w:rsidR="005E56C4" w:rsidRPr="005E56C4" w:rsidRDefault="005E56C4" w:rsidP="005E56C4">
      <w:pPr>
        <w:jc w:val="both"/>
        <w:rPr>
          <w:rFonts w:ascii="Arial" w:hAnsi="Arial" w:cs="Arial"/>
          <w:color w:val="444444"/>
          <w:sz w:val="24"/>
          <w:szCs w:val="24"/>
        </w:rPr>
      </w:pPr>
    </w:p>
    <w:p w:rsidR="005E56C4" w:rsidRPr="005E56C4" w:rsidRDefault="005E56C4" w:rsidP="005E56C4">
      <w:pPr>
        <w:jc w:val="both"/>
        <w:rPr>
          <w:rFonts w:ascii="Arial" w:hAnsi="Arial" w:cs="Arial"/>
          <w:b/>
          <w:color w:val="444444"/>
          <w:sz w:val="24"/>
          <w:szCs w:val="24"/>
          <w:lang w:val="en-US"/>
        </w:rPr>
      </w:pPr>
      <w:r w:rsidRPr="005E56C4">
        <w:rPr>
          <w:rFonts w:ascii="Arial" w:hAnsi="Arial" w:cs="Arial"/>
          <w:b/>
          <w:color w:val="444444"/>
          <w:sz w:val="24"/>
          <w:szCs w:val="24"/>
          <w:lang w:val="en-US"/>
        </w:rPr>
        <w:t>Abstract</w:t>
      </w:r>
    </w:p>
    <w:p w:rsidR="005E56C4" w:rsidRPr="005E56C4" w:rsidRDefault="005E56C4" w:rsidP="005E56C4">
      <w:pPr>
        <w:jc w:val="both"/>
        <w:rPr>
          <w:rFonts w:ascii="Arial" w:hAnsi="Arial" w:cs="Arial"/>
          <w:color w:val="444444"/>
          <w:sz w:val="24"/>
          <w:szCs w:val="24"/>
          <w:lang w:val="en-US"/>
        </w:rPr>
      </w:pPr>
    </w:p>
    <w:p w:rsidR="005E56C4" w:rsidRPr="005E56C4" w:rsidRDefault="005E56C4" w:rsidP="005E56C4">
      <w:pPr>
        <w:jc w:val="both"/>
        <w:rPr>
          <w:sz w:val="24"/>
          <w:szCs w:val="24"/>
          <w:lang w:val="en-US"/>
        </w:rPr>
      </w:pPr>
      <w:r w:rsidRPr="005E56C4">
        <w:rPr>
          <w:rFonts w:ascii="Arial" w:hAnsi="Arial" w:cs="Arial"/>
          <w:color w:val="444444"/>
          <w:sz w:val="24"/>
          <w:szCs w:val="24"/>
          <w:lang w:val="en-US"/>
        </w:rPr>
        <w:t xml:space="preserve">A gluten-free brownie was developed with attractive characteristics for the consumer obtained from the application of the Kano model and the methodology check all that apply (CATA). The free choice profile combined with the repertory grid method was used to obtain sensory descriptors which were used in the Kano and CATA questionnaires, these were: hardness, softness, sweetness, salty, bitter chocolate flavor, crispy, presence of sugar crystals, </w:t>
      </w:r>
      <w:proofErr w:type="spellStart"/>
      <w:r w:rsidRPr="005E56C4">
        <w:rPr>
          <w:rFonts w:ascii="Arial" w:hAnsi="Arial" w:cs="Arial"/>
          <w:color w:val="444444"/>
          <w:sz w:val="24"/>
          <w:szCs w:val="24"/>
          <w:lang w:val="en-US"/>
        </w:rPr>
        <w:t>chiclosity</w:t>
      </w:r>
      <w:proofErr w:type="spellEnd"/>
      <w:r w:rsidRPr="005E56C4">
        <w:rPr>
          <w:rFonts w:ascii="Arial" w:hAnsi="Arial" w:cs="Arial"/>
          <w:color w:val="444444"/>
          <w:sz w:val="24"/>
          <w:szCs w:val="24"/>
          <w:lang w:val="en-US"/>
        </w:rPr>
        <w:t>, dark color, presence of nuts, oily, moisture, crunchy surface and ligature. Afterwards, the Kano model was used to determine the attractive characteristics of the brownies, which were: bitter chocolate flavor, crispy and presence of nuts. Three samples of brownies were evaluated: two gluten-free formulations (F and G) and one commercial brand (D). Sample F contained in its formulation chocolate baking bar and chestnuts; and sample G contained cocoa powder. The CATA methodology allowed sensory description of brownie samples. Sample D was associated with the terms: crispy, crunchy surface, presence of sugar crystals, hard and of compact mass; sample F: presence of nuts, moist and sweet; and the sample G: dark color, bitter chocolate flavor and soft. On the other hand, the same samples were characterized using quantitative descriptive analysis (QDA). Sample D was characterized by its sweetness and low intensity in brown and bitterness; sample F was characterized by presenting the attributes of moist, heterogeneous mass, surface crust and oiliness; and sample G was characterized by bitterness and brown color. Finally, the association between QDA and CATA was evaluated by means of the RV coefficient, which was 0</w:t>
      </w:r>
      <w:proofErr w:type="gramStart"/>
      <w:r w:rsidRPr="005E56C4">
        <w:rPr>
          <w:rFonts w:ascii="Arial" w:hAnsi="Arial" w:cs="Arial"/>
          <w:color w:val="444444"/>
          <w:sz w:val="24"/>
          <w:szCs w:val="24"/>
          <w:lang w:val="en-US"/>
        </w:rPr>
        <w:t>,92</w:t>
      </w:r>
      <w:proofErr w:type="gramEnd"/>
      <w:r w:rsidRPr="005E56C4">
        <w:rPr>
          <w:rFonts w:ascii="Arial" w:hAnsi="Arial" w:cs="Arial"/>
          <w:color w:val="444444"/>
          <w:sz w:val="24"/>
          <w:szCs w:val="24"/>
          <w:lang w:val="en-US"/>
        </w:rPr>
        <w:t xml:space="preserve"> (p-value = 0,00), suggesting a very good correlation between these evaluation methodologies.</w:t>
      </w:r>
      <w:bookmarkStart w:id="0" w:name="_GoBack"/>
      <w:bookmarkEnd w:id="0"/>
    </w:p>
    <w:sectPr w:rsidR="005E56C4" w:rsidRPr="005E56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C4"/>
    <w:rsid w:val="001C4F5E"/>
    <w:rsid w:val="0021792C"/>
    <w:rsid w:val="003B3270"/>
    <w:rsid w:val="005C5797"/>
    <w:rsid w:val="005E56C4"/>
    <w:rsid w:val="007B0D4C"/>
    <w:rsid w:val="00A1607C"/>
    <w:rsid w:val="00AE746F"/>
    <w:rsid w:val="00BA2679"/>
    <w:rsid w:val="00E60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DE6D7-E20A-4FAD-A8D9-D595A660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E5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E56C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56C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E56C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5E56C4"/>
    <w:rPr>
      <w:color w:val="0000FF"/>
      <w:u w:val="single"/>
    </w:rPr>
  </w:style>
  <w:style w:type="character" w:styleId="Textoennegrita">
    <w:name w:val="Strong"/>
    <w:basedOn w:val="Fuentedeprrafopredeter"/>
    <w:uiPriority w:val="22"/>
    <w:qFormat/>
    <w:rsid w:val="005E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953839">
      <w:bodyDiv w:val="1"/>
      <w:marLeft w:val="0"/>
      <w:marRight w:val="0"/>
      <w:marTop w:val="0"/>
      <w:marBottom w:val="0"/>
      <w:divBdr>
        <w:top w:val="none" w:sz="0" w:space="0" w:color="auto"/>
        <w:left w:val="none" w:sz="0" w:space="0" w:color="auto"/>
        <w:bottom w:val="none" w:sz="0" w:space="0" w:color="auto"/>
        <w:right w:val="none" w:sz="0" w:space="0" w:color="auto"/>
      </w:divBdr>
      <w:divsChild>
        <w:div w:id="2036273981">
          <w:marLeft w:val="661"/>
          <w:marRight w:val="0"/>
          <w:marTop w:val="120"/>
          <w:marBottom w:val="0"/>
          <w:divBdr>
            <w:top w:val="none" w:sz="0" w:space="0" w:color="auto"/>
            <w:left w:val="none" w:sz="0" w:space="0" w:color="auto"/>
            <w:bottom w:val="none" w:sz="0" w:space="0" w:color="auto"/>
            <w:right w:val="none" w:sz="0" w:space="0" w:color="auto"/>
          </w:divBdr>
          <w:divsChild>
            <w:div w:id="829445911">
              <w:marLeft w:val="264"/>
              <w:marRight w:val="0"/>
              <w:marTop w:val="84"/>
              <w:marBottom w:val="0"/>
              <w:divBdr>
                <w:top w:val="none" w:sz="0" w:space="0" w:color="auto"/>
                <w:left w:val="none" w:sz="0" w:space="0" w:color="auto"/>
                <w:bottom w:val="none" w:sz="0" w:space="0" w:color="auto"/>
                <w:right w:val="none" w:sz="0" w:space="0" w:color="auto"/>
              </w:divBdr>
            </w:div>
            <w:div w:id="7542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PRODUCTOS+DE+PANADERIA/dproductos+de+panaderia/-3,-1,0,B/browse" TargetMode="External"/><Relationship Id="rId13" Type="http://schemas.openxmlformats.org/officeDocument/2006/relationships/hyperlink" Target="http://ban.lamolina.edu.pe/search~S1*spi?/dCONSUMIDORES/dconsumidores/-3,-1,0,B/browse" TargetMode="External"/><Relationship Id="rId18" Type="http://schemas.openxmlformats.org/officeDocument/2006/relationships/hyperlink" Target="http://ban.lamolina.edu.pe/search~S1*spi?/dMETODOS+DE+DEGUSTACION/dmetodos+de+degustacion/-3,-1,0,B/brow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n.lamolina.edu.pe/search~S1*spi?/dPASTELES/dpasteles/-3,-1,0,B/browse" TargetMode="External"/><Relationship Id="rId12" Type="http://schemas.openxmlformats.org/officeDocument/2006/relationships/hyperlink" Target="http://ban.lamolina.edu.pe/search~S1*spi?/dANALISIS+ORGANOLEPTICO/danalisis+organoleptico/-3,-1,0,B/browse" TargetMode="External"/><Relationship Id="rId17" Type="http://schemas.openxmlformats.org/officeDocument/2006/relationships/hyperlink" Target="http://ban.lamolina.edu.pe/search~S1*spi?/dBIZCOCHO+DE+CHOCOLATE/dbizcocho+de+chocolate/-3,-1,0,B/browse" TargetMode="External"/><Relationship Id="rId2" Type="http://schemas.openxmlformats.org/officeDocument/2006/relationships/settings" Target="settings.xml"/><Relationship Id="rId16" Type="http://schemas.openxmlformats.org/officeDocument/2006/relationships/hyperlink" Target="http://ban.lamolina.edu.pe/search~S1*spi?/dPERU/dperu/-3,-1,0,B/brow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n.lamolina.edu.pe/search~S1*spi?/cQ04.+L557+-+T/cq++++04+l557+t/-3,-1,,E/browse" TargetMode="External"/><Relationship Id="rId11" Type="http://schemas.openxmlformats.org/officeDocument/2006/relationships/hyperlink" Target="http://ban.lamolina.edu.pe/search~S1*spi?/dPROPIEDADES+ORGANOLEPTICAS/dpropiedades+organolepticas/-3,-1,0,B/browse" TargetMode="External"/><Relationship Id="rId5" Type="http://schemas.openxmlformats.org/officeDocument/2006/relationships/hyperlink" Target="http://ban.lamolina.edu.pe/search~S1*spi?/aUniversidad+Nacional+Agraria+La+Molina%2C+Lima+%28Peru%29.++Escuela+de+Posgrado%2C+Maestr%7bu00ED%7da+en+Tecnolog%7bu00ED%7da+de+Alimentos/auniversidad+nacional+agraria+la+molina+lima+peru+escuela+de+posgrado+maestria+en+tecnologia+de+alimentos/-3,-1,0,B/browse" TargetMode="External"/><Relationship Id="rId15" Type="http://schemas.openxmlformats.org/officeDocument/2006/relationships/hyperlink" Target="http://ban.lamolina.edu.pe/search~S1*spi?/dMETODOS/dmetodos/-3,-1,0,B/browse" TargetMode="External"/><Relationship Id="rId10" Type="http://schemas.openxmlformats.org/officeDocument/2006/relationships/hyperlink" Target="http://ban.lamolina.edu.pe/search~S1*spi?/dPROCESAMIENTO/dprocesamiento/-3,-1,0,B/browse" TargetMode="External"/><Relationship Id="rId19" Type="http://schemas.openxmlformats.org/officeDocument/2006/relationships/hyperlink" Target="http://ban.lamolina.edu.pe/search~S1*spi?/dPASTELES+SIN+GLUTEN/dpasteles+sin+gluten/-3,-1,0,B/browse" TargetMode="External"/><Relationship Id="rId4" Type="http://schemas.openxmlformats.org/officeDocument/2006/relationships/hyperlink" Target="http://ban.lamolina.edu.pe/search~S1*spi?/aLi%7bu00F1%7dan+P%7bu00E9%7drez%2C+J.F./alinan+perez+j+f/-3,-1,0,B/browse" TargetMode="External"/><Relationship Id="rId9" Type="http://schemas.openxmlformats.org/officeDocument/2006/relationships/hyperlink" Target="http://ban.lamolina.edu.pe/search~S1*spi?/dGLUTEN/dgluten/-3,-1,0,B/browse" TargetMode="External"/><Relationship Id="rId14" Type="http://schemas.openxmlformats.org/officeDocument/2006/relationships/hyperlink" Target="http://ban.lamolina.edu.pe/search~S1*spi?/dCOMPORTAMIENTO+DEL+CONSUMIDOR/dcomportamiento+del+consumidor/-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1003</Words>
  <Characters>5571</Characters>
  <Application>Microsoft Office Word</Application>
  <DocSecurity>0</DocSecurity>
  <Lines>168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2</cp:revision>
  <dcterms:created xsi:type="dcterms:W3CDTF">2020-01-08T19:25:00Z</dcterms:created>
  <dcterms:modified xsi:type="dcterms:W3CDTF">2020-01-08T19:38:00Z</dcterms:modified>
</cp:coreProperties>
</file>