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5E6" w:rsidRPr="000519A7" w:rsidRDefault="000519A7" w:rsidP="000519A7">
      <w:pPr>
        <w:jc w:val="center"/>
        <w:rPr>
          <w:b/>
        </w:rPr>
      </w:pPr>
      <w:r w:rsidRPr="000519A7">
        <w:rPr>
          <w:b/>
        </w:rPr>
        <w:t>RESUMEN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0519A7" w:rsidRPr="000519A7" w:rsidTr="000519A7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7229"/>
            </w:tblGrid>
            <w:tr w:rsidR="000519A7" w:rsidRPr="000519A7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0519A7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Autor</w:t>
                  </w:r>
                </w:p>
              </w:tc>
              <w:tc>
                <w:tcPr>
                  <w:tcW w:w="0" w:type="auto"/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4" w:history="1">
                    <w:proofErr w:type="spellStart"/>
                    <w:r w:rsidRPr="000519A7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Cussianovich</w:t>
                    </w:r>
                    <w:proofErr w:type="spellEnd"/>
                    <w:r w:rsidRPr="000519A7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 xml:space="preserve"> Aguirre, K.A.</w:t>
                    </w:r>
                  </w:hyperlink>
                  <w:r w:rsidRPr="000519A7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0519A7" w:rsidRPr="000519A7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0519A7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Autor corporativo</w:t>
                  </w:r>
                </w:p>
              </w:tc>
              <w:tc>
                <w:tcPr>
                  <w:tcW w:w="0" w:type="auto"/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5" w:history="1">
                    <w:r w:rsidRPr="000519A7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Universidad Nacional Agraria La Molina, Lima (</w:t>
                    </w:r>
                    <w:proofErr w:type="spellStart"/>
                    <w:r w:rsidRPr="000519A7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Peru</w:t>
                    </w:r>
                    <w:proofErr w:type="spellEnd"/>
                    <w:r w:rsidRPr="000519A7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). Facultad de Industrias Alimentarias</w:t>
                    </w:r>
                  </w:hyperlink>
                  <w:r w:rsidRPr="000519A7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</w:tbl>
          <w:p w:rsidR="000519A7" w:rsidRPr="000519A7" w:rsidRDefault="000519A7" w:rsidP="000519A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</w:p>
        </w:tc>
      </w:tr>
    </w:tbl>
    <w:p w:rsidR="000519A7" w:rsidRPr="000519A7" w:rsidRDefault="000519A7" w:rsidP="000519A7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vanish/>
          <w:color w:val="444444"/>
          <w:kern w:val="36"/>
          <w:sz w:val="20"/>
          <w:szCs w:val="20"/>
          <w:lang w:val="en" w:eastAsia="es-P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0519A7" w:rsidRPr="000519A7" w:rsidTr="000519A7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7229"/>
            </w:tblGrid>
            <w:tr w:rsidR="000519A7" w:rsidRPr="000519A7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0519A7">
                    <w:rPr>
                      <w:rFonts w:ascii="Trebuchet MS" w:eastAsia="Times New Roman" w:hAnsi="Trebuchet MS" w:cs="Times New Roman"/>
                      <w:color w:val="767C70"/>
                      <w:sz w:val="20"/>
                      <w:szCs w:val="20"/>
                      <w:lang w:eastAsia="es-PE"/>
                    </w:rPr>
                    <w:t>Título</w:t>
                  </w:r>
                </w:p>
              </w:tc>
              <w:tc>
                <w:tcPr>
                  <w:tcW w:w="0" w:type="auto"/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r w:rsidRPr="000519A7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es-PE"/>
                    </w:rPr>
                    <w:t xml:space="preserve">Obtención y caracterización de </w:t>
                  </w:r>
                  <w:proofErr w:type="spellStart"/>
                  <w:r w:rsidRPr="000519A7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es-PE"/>
                    </w:rPr>
                    <w:t>aguadiente</w:t>
                  </w:r>
                  <w:proofErr w:type="spellEnd"/>
                  <w:r w:rsidRPr="000519A7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szCs w:val="20"/>
                      <w:lang w:eastAsia="es-PE"/>
                    </w:rPr>
                    <w:t xml:space="preserve"> de 40° G.L. a partir de gaseosas y néctar de descarte</w:t>
                  </w:r>
                </w:p>
              </w:tc>
            </w:tr>
          </w:tbl>
          <w:p w:rsidR="000519A7" w:rsidRPr="000519A7" w:rsidRDefault="000519A7" w:rsidP="000519A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</w:p>
        </w:tc>
      </w:tr>
    </w:tbl>
    <w:p w:rsidR="000519A7" w:rsidRPr="000519A7" w:rsidRDefault="000519A7" w:rsidP="000519A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vanish/>
          <w:color w:val="444444"/>
          <w:sz w:val="20"/>
          <w:szCs w:val="20"/>
          <w:lang w:val="en" w:eastAsia="es-P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0519A7" w:rsidRPr="000519A7" w:rsidTr="000519A7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7229"/>
            </w:tblGrid>
            <w:tr w:rsidR="000519A7" w:rsidRPr="000519A7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0519A7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Impreso</w:t>
                  </w:r>
                </w:p>
              </w:tc>
              <w:tc>
                <w:tcPr>
                  <w:tcW w:w="0" w:type="auto"/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r w:rsidRPr="000519A7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Lima : UNALM, 2016</w:t>
                  </w:r>
                </w:p>
              </w:tc>
            </w:tr>
          </w:tbl>
          <w:p w:rsidR="000519A7" w:rsidRPr="000519A7" w:rsidRDefault="000519A7" w:rsidP="000519A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</w:p>
        </w:tc>
      </w:tr>
    </w:tbl>
    <w:p w:rsidR="000519A7" w:rsidRPr="000519A7" w:rsidRDefault="000519A7" w:rsidP="000519A7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F7960C"/>
          <w:sz w:val="20"/>
          <w:szCs w:val="20"/>
          <w:lang w:val="en" w:eastAsia="es-PE"/>
        </w:rPr>
      </w:pPr>
      <w:proofErr w:type="spellStart"/>
      <w:r w:rsidRPr="000519A7">
        <w:rPr>
          <w:rFonts w:ascii="Trebuchet MS" w:eastAsia="Times New Roman" w:hAnsi="Trebuchet MS" w:cs="Times New Roman"/>
          <w:b/>
          <w:bCs/>
          <w:color w:val="F7960C"/>
          <w:sz w:val="20"/>
          <w:szCs w:val="20"/>
          <w:lang w:val="en" w:eastAsia="es-PE"/>
        </w:rPr>
        <w:t>Copias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11"/>
        <w:gridCol w:w="2892"/>
      </w:tblGrid>
      <w:tr w:rsidR="000519A7" w:rsidRPr="000519A7" w:rsidTr="000519A7">
        <w:trPr>
          <w:tblCellSpacing w:w="0" w:type="dxa"/>
        </w:trPr>
        <w:tc>
          <w:tcPr>
            <w:tcW w:w="2000" w:type="pct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519A7" w:rsidRPr="000519A7" w:rsidRDefault="000519A7" w:rsidP="000519A7">
            <w:pPr>
              <w:spacing w:after="300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</w:pPr>
            <w:r w:rsidRPr="000519A7"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  <w:t xml:space="preserve">Ubicación </w:t>
            </w:r>
          </w:p>
        </w:tc>
        <w:tc>
          <w:tcPr>
            <w:tcW w:w="1300" w:type="pct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519A7" w:rsidRPr="000519A7" w:rsidRDefault="000519A7" w:rsidP="000519A7">
            <w:pPr>
              <w:spacing w:after="300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</w:pPr>
            <w:r w:rsidRPr="000519A7"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  <w:t xml:space="preserve">Código </w:t>
            </w:r>
          </w:p>
        </w:tc>
        <w:tc>
          <w:tcPr>
            <w:tcW w:w="1700" w:type="pct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0519A7" w:rsidRPr="000519A7" w:rsidRDefault="000519A7" w:rsidP="000519A7">
            <w:pPr>
              <w:spacing w:after="300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</w:pPr>
            <w:r w:rsidRPr="000519A7"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PE"/>
              </w:rPr>
              <w:t xml:space="preserve">Estado </w:t>
            </w:r>
          </w:p>
        </w:tc>
      </w:tr>
      <w:tr w:rsidR="000519A7" w:rsidRPr="000519A7" w:rsidTr="000519A7">
        <w:trPr>
          <w:tblCellSpacing w:w="0" w:type="dxa"/>
        </w:trPr>
        <w:tc>
          <w:tcPr>
            <w:tcW w:w="2000" w:type="pct"/>
            <w:tcBorders>
              <w:top w:val="single" w:sz="6" w:space="0" w:color="ECECEC"/>
              <w:bottom w:val="nil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519A7" w:rsidRPr="000519A7" w:rsidRDefault="000519A7" w:rsidP="000519A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  <w:r w:rsidRPr="000519A7"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  <w:t xml:space="preserve"> Sala Tesis </w:t>
            </w:r>
          </w:p>
        </w:tc>
        <w:tc>
          <w:tcPr>
            <w:tcW w:w="1300" w:type="pct"/>
            <w:tcBorders>
              <w:top w:val="single" w:sz="6" w:space="0" w:color="ECECEC"/>
              <w:bottom w:val="nil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519A7" w:rsidRPr="000519A7" w:rsidRDefault="000519A7" w:rsidP="000519A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  <w:r w:rsidRPr="000519A7"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  <w:t> </w:t>
            </w:r>
            <w:hyperlink r:id="rId6" w:history="1">
              <w:r w:rsidRPr="000519A7">
                <w:rPr>
                  <w:rFonts w:ascii="Arial" w:eastAsia="Times New Roman" w:hAnsi="Arial" w:cs="Arial"/>
                  <w:b/>
                  <w:bCs/>
                  <w:color w:val="014184"/>
                  <w:sz w:val="18"/>
                  <w:szCs w:val="18"/>
                  <w:lang w:eastAsia="es-PE"/>
                </w:rPr>
                <w:t>Q02. C88 - T</w:t>
              </w:r>
            </w:hyperlink>
            <w:r w:rsidRPr="000519A7"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  <w:t xml:space="preserve">  </w:t>
            </w:r>
          </w:p>
        </w:tc>
        <w:tc>
          <w:tcPr>
            <w:tcW w:w="1700" w:type="pct"/>
            <w:tcBorders>
              <w:top w:val="single" w:sz="6" w:space="0" w:color="ECECEC"/>
              <w:bottom w:val="nil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519A7" w:rsidRPr="000519A7" w:rsidRDefault="000519A7" w:rsidP="000519A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  <w:r w:rsidRPr="000519A7"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  <w:t xml:space="preserve"> EN PROCESO </w:t>
            </w:r>
          </w:p>
        </w:tc>
      </w:tr>
      <w:tr w:rsidR="000519A7" w:rsidRPr="000519A7" w:rsidTr="000519A7">
        <w:tblPrEx>
          <w:tblCellSpacing w:w="0" w:type="nil"/>
          <w:shd w:val="clear" w:color="auto" w:fill="auto"/>
        </w:tblPrEx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7229"/>
            </w:tblGrid>
            <w:tr w:rsidR="000519A7" w:rsidRPr="000519A7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0519A7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Descripción</w:t>
                  </w:r>
                </w:p>
              </w:tc>
              <w:tc>
                <w:tcPr>
                  <w:tcW w:w="0" w:type="auto"/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r w:rsidRPr="000519A7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110 p</w:t>
                  </w:r>
                  <w:proofErr w:type="gramStart"/>
                  <w:r w:rsidRPr="000519A7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. :</w:t>
                  </w:r>
                  <w:proofErr w:type="gramEnd"/>
                  <w:r w:rsidRPr="000519A7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13 fig., 33 cuadros, 66 ref. Incluye CD ROM</w:t>
                  </w:r>
                </w:p>
              </w:tc>
            </w:tr>
            <w:tr w:rsidR="000519A7" w:rsidRPr="000519A7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0519A7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Tesis</w:t>
                  </w:r>
                </w:p>
              </w:tc>
              <w:tc>
                <w:tcPr>
                  <w:tcW w:w="0" w:type="auto"/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r w:rsidRPr="000519A7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Tesis (</w:t>
                  </w:r>
                  <w:proofErr w:type="spellStart"/>
                  <w:r w:rsidRPr="000519A7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Ing</w:t>
                  </w:r>
                  <w:proofErr w:type="spellEnd"/>
                  <w:r w:rsidRPr="000519A7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  <w:proofErr w:type="spellStart"/>
                  <w:r w:rsidRPr="000519A7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Ind</w:t>
                  </w:r>
                  <w:proofErr w:type="spellEnd"/>
                  <w:r w:rsidRPr="000519A7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Alimentarias)</w:t>
                  </w:r>
                </w:p>
              </w:tc>
            </w:tr>
            <w:tr w:rsidR="000519A7" w:rsidRPr="000519A7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0519A7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Bibliografía</w:t>
                  </w:r>
                </w:p>
              </w:tc>
              <w:tc>
                <w:tcPr>
                  <w:tcW w:w="0" w:type="auto"/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r w:rsidRPr="000519A7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Facultad : Industria Alimentarias</w:t>
                  </w:r>
                </w:p>
              </w:tc>
            </w:tr>
            <w:tr w:rsidR="000519A7" w:rsidRPr="000519A7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0519A7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Sumario</w:t>
                  </w:r>
                </w:p>
              </w:tc>
              <w:tc>
                <w:tcPr>
                  <w:tcW w:w="0" w:type="auto"/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r w:rsidRPr="000519A7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Sumarios (En, Es)</w:t>
                  </w:r>
                </w:p>
              </w:tc>
            </w:tr>
            <w:tr w:rsidR="000519A7" w:rsidRPr="000519A7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0519A7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Materia</w:t>
                  </w:r>
                </w:p>
              </w:tc>
              <w:tc>
                <w:tcPr>
                  <w:tcW w:w="0" w:type="auto"/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7" w:history="1">
                    <w:r w:rsidRPr="000519A7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CARACTERIZACION DE AGUARDIENTES</w:t>
                    </w:r>
                  </w:hyperlink>
                  <w:r w:rsidRPr="000519A7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0519A7" w:rsidRPr="000519A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8" w:history="1">
                    <w:r w:rsidRPr="000519A7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EFECTO DEL ACONDICIONAMIENTO</w:t>
                    </w:r>
                  </w:hyperlink>
                  <w:r w:rsidRPr="000519A7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0519A7" w:rsidRPr="000519A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9" w:history="1">
                    <w:r w:rsidRPr="000519A7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GASEOSAS DE DESCARTE</w:t>
                    </w:r>
                  </w:hyperlink>
                  <w:r w:rsidRPr="000519A7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0519A7" w:rsidRPr="000519A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0" w:history="1">
                    <w:r w:rsidRPr="000519A7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GASEOSAS</w:t>
                    </w:r>
                  </w:hyperlink>
                  <w:r w:rsidRPr="000519A7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0519A7" w:rsidRPr="000519A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1" w:history="1">
                    <w:r w:rsidRPr="000519A7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JUGO DE FRUTAS</w:t>
                    </w:r>
                  </w:hyperlink>
                  <w:r w:rsidRPr="000519A7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0519A7" w:rsidRPr="000519A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2" w:history="1">
                    <w:r w:rsidRPr="000519A7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AGUARDIENTES</w:t>
                    </w:r>
                  </w:hyperlink>
                  <w:r w:rsidRPr="000519A7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0519A7" w:rsidRPr="000519A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3" w:history="1">
                    <w:r w:rsidRPr="000519A7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SACCHAROMYCES CEREVISIAE</w:t>
                    </w:r>
                  </w:hyperlink>
                  <w:r w:rsidRPr="000519A7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0519A7" w:rsidRPr="000519A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4" w:history="1">
                    <w:r w:rsidRPr="000519A7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PROPIEDADES FISICOQUIMICAS</w:t>
                    </w:r>
                  </w:hyperlink>
                  <w:r w:rsidRPr="000519A7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0519A7" w:rsidRPr="000519A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5" w:history="1">
                    <w:r w:rsidRPr="000519A7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FERMENTACION ALCOHOLICA</w:t>
                    </w:r>
                  </w:hyperlink>
                  <w:r w:rsidRPr="000519A7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0519A7" w:rsidRPr="000519A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6" w:history="1">
                    <w:r w:rsidRPr="000519A7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RENDIMIENTO</w:t>
                    </w:r>
                  </w:hyperlink>
                  <w:r w:rsidRPr="000519A7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0519A7" w:rsidRPr="000519A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7" w:history="1">
                    <w:r w:rsidRPr="000519A7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EVALUACION</w:t>
                    </w:r>
                  </w:hyperlink>
                  <w:r w:rsidRPr="000519A7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0519A7" w:rsidRPr="000519A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8" w:history="1">
                    <w:r w:rsidRPr="000519A7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PERU</w:t>
                    </w:r>
                  </w:hyperlink>
                  <w:r w:rsidRPr="000519A7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0519A7" w:rsidRPr="000519A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hyperlink r:id="rId19" w:history="1">
                    <w:r w:rsidRPr="000519A7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PE"/>
                      </w:rPr>
                      <w:t>NECTARES DE DESCARTE</w:t>
                    </w:r>
                  </w:hyperlink>
                  <w:r w:rsidRPr="000519A7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 xml:space="preserve"> </w:t>
                  </w:r>
                </w:p>
              </w:tc>
            </w:tr>
            <w:tr w:rsidR="000519A7" w:rsidRPr="000519A7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</w:pPr>
                  <w:r w:rsidRPr="000519A7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PE"/>
                    </w:rPr>
                    <w:t>Nº estándar</w:t>
                  </w:r>
                </w:p>
              </w:tc>
              <w:tc>
                <w:tcPr>
                  <w:tcW w:w="0" w:type="auto"/>
                  <w:hideMark/>
                </w:tcPr>
                <w:p w:rsidR="000519A7" w:rsidRPr="000519A7" w:rsidRDefault="000519A7" w:rsidP="000519A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</w:pPr>
                  <w:r w:rsidRPr="000519A7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PE"/>
                    </w:rPr>
                    <w:t>PE2016000585 B / M EUVZ Q02</w:t>
                  </w:r>
                </w:p>
              </w:tc>
            </w:tr>
          </w:tbl>
          <w:p w:rsidR="000519A7" w:rsidRPr="000519A7" w:rsidRDefault="000519A7" w:rsidP="000519A7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PE"/>
              </w:rPr>
            </w:pPr>
          </w:p>
        </w:tc>
      </w:tr>
    </w:tbl>
    <w:p w:rsidR="000519A7" w:rsidRDefault="000519A7" w:rsidP="000519A7"/>
    <w:p w:rsidR="000519A7" w:rsidRPr="00C80D62" w:rsidRDefault="00C80D62">
      <w:pPr>
        <w:rPr>
          <w:b/>
        </w:rPr>
      </w:pPr>
      <w:r w:rsidRPr="00C80D62">
        <w:rPr>
          <w:b/>
        </w:rPr>
        <w:t>RESUMEN</w:t>
      </w:r>
    </w:p>
    <w:p w:rsidR="006A7E48" w:rsidRPr="00C80D62" w:rsidRDefault="006A7E48" w:rsidP="00C80D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D62">
        <w:rPr>
          <w:rFonts w:ascii="Arial" w:hAnsi="Arial" w:cs="Arial"/>
          <w:sz w:val="24"/>
          <w:szCs w:val="24"/>
        </w:rPr>
        <w:t>Se investigó la obtención de aguardiente a partir de gaseosas y néctar de descarte mediante un</w:t>
      </w:r>
      <w:r w:rsidR="00C80D62" w:rsidRPr="00C80D62">
        <w:rPr>
          <w:rFonts w:ascii="Arial" w:hAnsi="Arial" w:cs="Arial"/>
          <w:sz w:val="24"/>
          <w:szCs w:val="24"/>
        </w:rPr>
        <w:t xml:space="preserve"> </w:t>
      </w:r>
      <w:r w:rsidRPr="00C80D62">
        <w:rPr>
          <w:rFonts w:ascii="Arial" w:hAnsi="Arial" w:cs="Arial"/>
          <w:sz w:val="24"/>
          <w:szCs w:val="24"/>
        </w:rPr>
        <w:t>proceso de fermentación alcohólica y posterior destilación. Para llevar a cabo la fermentación</w:t>
      </w:r>
      <w:r w:rsidR="00C80D62" w:rsidRPr="00C80D62">
        <w:rPr>
          <w:rFonts w:ascii="Arial" w:hAnsi="Arial" w:cs="Arial"/>
          <w:sz w:val="24"/>
          <w:szCs w:val="24"/>
        </w:rPr>
        <w:t xml:space="preserve"> </w:t>
      </w:r>
      <w:r w:rsidRPr="00C80D62">
        <w:rPr>
          <w:rFonts w:ascii="Arial" w:hAnsi="Arial" w:cs="Arial"/>
          <w:sz w:val="24"/>
          <w:szCs w:val="24"/>
        </w:rPr>
        <w:t>alcohólica, se trabajaron dos mostos para cada bebida de descarte y de la mezcla de ellas. Uno</w:t>
      </w:r>
      <w:r w:rsidR="00C80D62" w:rsidRPr="00C80D62">
        <w:rPr>
          <w:rFonts w:ascii="Arial" w:hAnsi="Arial" w:cs="Arial"/>
          <w:sz w:val="24"/>
          <w:szCs w:val="24"/>
        </w:rPr>
        <w:t xml:space="preserve"> </w:t>
      </w:r>
      <w:r w:rsidRPr="00C80D62">
        <w:rPr>
          <w:rFonts w:ascii="Arial" w:hAnsi="Arial" w:cs="Arial"/>
          <w:sz w:val="24"/>
          <w:szCs w:val="24"/>
        </w:rPr>
        <w:t>de los mostos fue fermentado directamente sin acondicionamiento, mientras que el otro mosto</w:t>
      </w:r>
      <w:r w:rsidR="00C80D62" w:rsidRPr="00C80D62">
        <w:rPr>
          <w:rFonts w:ascii="Arial" w:hAnsi="Arial" w:cs="Arial"/>
          <w:sz w:val="24"/>
          <w:szCs w:val="24"/>
        </w:rPr>
        <w:t xml:space="preserve"> </w:t>
      </w:r>
      <w:r w:rsidRPr="00C80D62">
        <w:rPr>
          <w:rFonts w:ascii="Arial" w:hAnsi="Arial" w:cs="Arial"/>
          <w:sz w:val="24"/>
          <w:szCs w:val="24"/>
        </w:rPr>
        <w:t>fue acondicionado (corregido a pH 4.5 y se le adicionó 0.2 g/l de fosfato de amonio). Todos</w:t>
      </w:r>
      <w:r w:rsidR="00C80D62" w:rsidRPr="00C80D62">
        <w:rPr>
          <w:rFonts w:ascii="Arial" w:hAnsi="Arial" w:cs="Arial"/>
          <w:sz w:val="24"/>
          <w:szCs w:val="24"/>
        </w:rPr>
        <w:t xml:space="preserve"> </w:t>
      </w:r>
      <w:r w:rsidRPr="00C80D62">
        <w:rPr>
          <w:rFonts w:ascii="Arial" w:hAnsi="Arial" w:cs="Arial"/>
          <w:sz w:val="24"/>
          <w:szCs w:val="24"/>
        </w:rPr>
        <w:t>los mostos de cola negra y néctar de manzana, con y sin acondicionamiento, fermentaron</w:t>
      </w:r>
      <w:r w:rsidR="00C80D62" w:rsidRPr="00C80D62">
        <w:rPr>
          <w:rFonts w:ascii="Arial" w:hAnsi="Arial" w:cs="Arial"/>
          <w:sz w:val="24"/>
          <w:szCs w:val="24"/>
        </w:rPr>
        <w:t xml:space="preserve"> </w:t>
      </w:r>
      <w:r w:rsidRPr="00C80D62">
        <w:rPr>
          <w:rFonts w:ascii="Arial" w:hAnsi="Arial" w:cs="Arial"/>
          <w:sz w:val="24"/>
          <w:szCs w:val="24"/>
        </w:rPr>
        <w:t>completamente, mientras que el mosto de cola amarilla en ninguno de los casos alcanzó una</w:t>
      </w:r>
      <w:r w:rsidR="00C80D62" w:rsidRPr="00C80D62">
        <w:rPr>
          <w:rFonts w:ascii="Arial" w:hAnsi="Arial" w:cs="Arial"/>
          <w:sz w:val="24"/>
          <w:szCs w:val="24"/>
        </w:rPr>
        <w:t xml:space="preserve"> </w:t>
      </w:r>
      <w:r w:rsidRPr="00C80D62">
        <w:rPr>
          <w:rFonts w:ascii="Arial" w:hAnsi="Arial" w:cs="Arial"/>
          <w:sz w:val="24"/>
          <w:szCs w:val="24"/>
        </w:rPr>
        <w:t>completa fermentación. Esta diferencia puede ser debida a que la cola amarilla presentó un</w:t>
      </w:r>
      <w:r w:rsidR="00C80D62" w:rsidRPr="00C80D62">
        <w:rPr>
          <w:rFonts w:ascii="Arial" w:hAnsi="Arial" w:cs="Arial"/>
          <w:sz w:val="24"/>
          <w:szCs w:val="24"/>
        </w:rPr>
        <w:t xml:space="preserve"> </w:t>
      </w:r>
      <w:r w:rsidRPr="00C80D62">
        <w:rPr>
          <w:rFonts w:ascii="Arial" w:hAnsi="Arial" w:cs="Arial"/>
          <w:sz w:val="24"/>
          <w:szCs w:val="24"/>
        </w:rPr>
        <w:t>contenido de 0.2596 g/l de benzoato de sodio, el cual es un inhibidor levaduras. Por otro lado,</w:t>
      </w:r>
      <w:r w:rsidR="00C80D62" w:rsidRPr="00C80D62">
        <w:rPr>
          <w:rFonts w:ascii="Arial" w:hAnsi="Arial" w:cs="Arial"/>
          <w:sz w:val="24"/>
          <w:szCs w:val="24"/>
        </w:rPr>
        <w:t xml:space="preserve"> </w:t>
      </w:r>
      <w:r w:rsidRPr="00C80D62">
        <w:rPr>
          <w:rFonts w:ascii="Arial" w:hAnsi="Arial" w:cs="Arial"/>
          <w:sz w:val="24"/>
          <w:szCs w:val="24"/>
        </w:rPr>
        <w:t>la mezcla (cola negra, cola amarilla y néctar de manzana) logró una completa fermentación, al</w:t>
      </w:r>
      <w:r w:rsidR="00C80D62" w:rsidRPr="00C80D62">
        <w:rPr>
          <w:rFonts w:ascii="Arial" w:hAnsi="Arial" w:cs="Arial"/>
          <w:sz w:val="24"/>
          <w:szCs w:val="24"/>
        </w:rPr>
        <w:t xml:space="preserve"> </w:t>
      </w:r>
      <w:r w:rsidRPr="00C80D62">
        <w:rPr>
          <w:rFonts w:ascii="Arial" w:hAnsi="Arial" w:cs="Arial"/>
          <w:sz w:val="24"/>
          <w:szCs w:val="24"/>
        </w:rPr>
        <w:t>ser acondicionada. El análisis estadístico del grado alcohólico de los mostos fermentados,</w:t>
      </w:r>
      <w:r w:rsidR="00C80D62" w:rsidRPr="00C80D62">
        <w:rPr>
          <w:rFonts w:ascii="Arial" w:hAnsi="Arial" w:cs="Arial"/>
          <w:sz w:val="24"/>
          <w:szCs w:val="24"/>
        </w:rPr>
        <w:t xml:space="preserve"> </w:t>
      </w:r>
      <w:r w:rsidRPr="00C80D62">
        <w:rPr>
          <w:rFonts w:ascii="Arial" w:hAnsi="Arial" w:cs="Arial"/>
          <w:sz w:val="24"/>
          <w:szCs w:val="24"/>
        </w:rPr>
        <w:t>indicó que no existen diferencias significativas entre los mostos sin y con acondicionamiento,</w:t>
      </w:r>
      <w:r w:rsidR="00C80D62" w:rsidRPr="00C80D62">
        <w:rPr>
          <w:rFonts w:ascii="Arial" w:hAnsi="Arial" w:cs="Arial"/>
          <w:sz w:val="24"/>
          <w:szCs w:val="24"/>
        </w:rPr>
        <w:t xml:space="preserve"> </w:t>
      </w:r>
      <w:r w:rsidRPr="00C80D62">
        <w:rPr>
          <w:rFonts w:ascii="Arial" w:hAnsi="Arial" w:cs="Arial"/>
          <w:sz w:val="24"/>
          <w:szCs w:val="24"/>
        </w:rPr>
        <w:t>para el caso de cola negra y néctar de manzana; mientras que, en el caso de la mezcla y la cola</w:t>
      </w:r>
      <w:r w:rsidR="00C80D62" w:rsidRPr="00C80D62">
        <w:rPr>
          <w:rFonts w:ascii="Arial" w:hAnsi="Arial" w:cs="Arial"/>
          <w:sz w:val="24"/>
          <w:szCs w:val="24"/>
        </w:rPr>
        <w:t xml:space="preserve"> </w:t>
      </w:r>
      <w:r w:rsidRPr="00C80D62">
        <w:rPr>
          <w:rFonts w:ascii="Arial" w:hAnsi="Arial" w:cs="Arial"/>
          <w:sz w:val="24"/>
          <w:szCs w:val="24"/>
        </w:rPr>
        <w:t>amarilla, si hubo diferencias significativas, obteniéndose un mayor grado alcohólico con el</w:t>
      </w:r>
      <w:r w:rsidR="00C80D62" w:rsidRPr="00C80D62">
        <w:rPr>
          <w:rFonts w:ascii="Arial" w:hAnsi="Arial" w:cs="Arial"/>
          <w:sz w:val="24"/>
          <w:szCs w:val="24"/>
        </w:rPr>
        <w:t xml:space="preserve"> </w:t>
      </w:r>
      <w:r w:rsidRPr="00C80D62">
        <w:rPr>
          <w:rFonts w:ascii="Arial" w:hAnsi="Arial" w:cs="Arial"/>
          <w:sz w:val="24"/>
          <w:szCs w:val="24"/>
        </w:rPr>
        <w:t>acondicionamiento, en ambos casos.</w:t>
      </w:r>
      <w:bookmarkStart w:id="0" w:name="_GoBack"/>
      <w:bookmarkEnd w:id="0"/>
      <w:r w:rsidRPr="00C80D62">
        <w:rPr>
          <w:rFonts w:ascii="Arial" w:hAnsi="Arial" w:cs="Arial"/>
          <w:sz w:val="24"/>
          <w:szCs w:val="24"/>
        </w:rPr>
        <w:t xml:space="preserve"> Los rendimientos de aguardiente (40 </w:t>
      </w:r>
      <w:proofErr w:type="spellStart"/>
      <w:r w:rsidRPr="00C80D62">
        <w:rPr>
          <w:rFonts w:ascii="Arial" w:hAnsi="Arial" w:cs="Arial"/>
          <w:sz w:val="24"/>
          <w:szCs w:val="24"/>
        </w:rPr>
        <w:t>ºG.L</w:t>
      </w:r>
      <w:proofErr w:type="spellEnd"/>
      <w:r w:rsidRPr="00C80D62">
        <w:rPr>
          <w:rFonts w:ascii="Arial" w:hAnsi="Arial" w:cs="Arial"/>
          <w:sz w:val="24"/>
          <w:szCs w:val="24"/>
        </w:rPr>
        <w:t>.) obtenidos a</w:t>
      </w:r>
      <w:r w:rsidR="00C80D62" w:rsidRPr="00C80D62">
        <w:rPr>
          <w:rFonts w:ascii="Arial" w:hAnsi="Arial" w:cs="Arial"/>
          <w:sz w:val="24"/>
          <w:szCs w:val="24"/>
        </w:rPr>
        <w:t xml:space="preserve"> </w:t>
      </w:r>
      <w:r w:rsidRPr="00C80D62">
        <w:rPr>
          <w:rFonts w:ascii="Arial" w:hAnsi="Arial" w:cs="Arial"/>
          <w:sz w:val="24"/>
          <w:szCs w:val="24"/>
        </w:rPr>
        <w:t>partir de la cola negra, néctar de manzana y de la mezcla fueron de 16.6, 11.8 y 12.5 por</w:t>
      </w:r>
      <w:r w:rsidR="00C80D62" w:rsidRPr="00C80D62">
        <w:rPr>
          <w:rFonts w:ascii="Arial" w:hAnsi="Arial" w:cs="Arial"/>
          <w:sz w:val="24"/>
          <w:szCs w:val="24"/>
        </w:rPr>
        <w:t xml:space="preserve"> </w:t>
      </w:r>
      <w:r w:rsidRPr="00C80D62">
        <w:rPr>
          <w:rFonts w:ascii="Arial" w:hAnsi="Arial" w:cs="Arial"/>
          <w:sz w:val="24"/>
          <w:szCs w:val="24"/>
        </w:rPr>
        <w:t>ciento, respectivamente.</w:t>
      </w:r>
    </w:p>
    <w:p w:rsidR="000519A7" w:rsidRPr="00C80D62" w:rsidRDefault="006A7E48" w:rsidP="00C80D62">
      <w:pPr>
        <w:jc w:val="both"/>
        <w:rPr>
          <w:rFonts w:ascii="Arial" w:hAnsi="Arial" w:cs="Arial"/>
          <w:sz w:val="24"/>
          <w:szCs w:val="24"/>
        </w:rPr>
      </w:pPr>
      <w:r w:rsidRPr="00C80D62">
        <w:rPr>
          <w:rFonts w:ascii="Arial" w:hAnsi="Arial" w:cs="Arial"/>
          <w:b/>
          <w:bCs/>
          <w:sz w:val="24"/>
          <w:szCs w:val="24"/>
        </w:rPr>
        <w:lastRenderedPageBreak/>
        <w:t xml:space="preserve">Palabras claves: </w:t>
      </w:r>
      <w:r w:rsidRPr="00C80D62">
        <w:rPr>
          <w:rFonts w:ascii="Arial" w:hAnsi="Arial" w:cs="Arial"/>
          <w:sz w:val="24"/>
          <w:szCs w:val="24"/>
        </w:rPr>
        <w:t>Bebidas descarte, Aguardiente, Acondicionamiento, Rendimiento.</w:t>
      </w:r>
    </w:p>
    <w:p w:rsidR="006A7E48" w:rsidRPr="00C80D62" w:rsidRDefault="006A7E48" w:rsidP="00C80D62">
      <w:pPr>
        <w:jc w:val="both"/>
        <w:rPr>
          <w:rFonts w:ascii="Arial" w:hAnsi="Arial" w:cs="Arial"/>
          <w:sz w:val="24"/>
          <w:szCs w:val="24"/>
        </w:rPr>
      </w:pPr>
    </w:p>
    <w:p w:rsidR="006A7E48" w:rsidRPr="00C80D62" w:rsidRDefault="006A7E48" w:rsidP="00C80D62">
      <w:pPr>
        <w:jc w:val="both"/>
        <w:rPr>
          <w:rFonts w:ascii="Arial" w:hAnsi="Arial" w:cs="Arial"/>
          <w:sz w:val="24"/>
          <w:szCs w:val="24"/>
        </w:rPr>
      </w:pPr>
    </w:p>
    <w:p w:rsidR="006A7E48" w:rsidRPr="00C80D62" w:rsidRDefault="006A7E48" w:rsidP="00C80D62">
      <w:pPr>
        <w:jc w:val="both"/>
        <w:rPr>
          <w:rFonts w:ascii="Arial" w:hAnsi="Arial" w:cs="Arial"/>
          <w:sz w:val="24"/>
          <w:szCs w:val="24"/>
        </w:rPr>
      </w:pPr>
    </w:p>
    <w:p w:rsidR="006A7E48" w:rsidRPr="00C80D62" w:rsidRDefault="006A7E48" w:rsidP="00C80D62">
      <w:pPr>
        <w:jc w:val="both"/>
        <w:rPr>
          <w:rFonts w:ascii="Arial" w:hAnsi="Arial" w:cs="Arial"/>
          <w:sz w:val="24"/>
          <w:szCs w:val="24"/>
        </w:rPr>
      </w:pPr>
    </w:p>
    <w:p w:rsidR="006A7E48" w:rsidRPr="00C80D62" w:rsidRDefault="006A7E48" w:rsidP="00C80D62">
      <w:pPr>
        <w:rPr>
          <w:b/>
        </w:rPr>
      </w:pPr>
      <w:r w:rsidRPr="00C80D62">
        <w:rPr>
          <w:b/>
        </w:rPr>
        <w:t>SUMMARY</w:t>
      </w:r>
    </w:p>
    <w:p w:rsidR="00C80D62" w:rsidRDefault="00C80D62" w:rsidP="00C80D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A7E48" w:rsidRPr="00C80D62" w:rsidRDefault="006A7E48" w:rsidP="00C80D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80D62">
        <w:rPr>
          <w:rFonts w:ascii="Arial" w:hAnsi="Arial" w:cs="Arial"/>
          <w:sz w:val="24"/>
          <w:szCs w:val="24"/>
          <w:lang w:val="en-US"/>
        </w:rPr>
        <w:t>A process to obtain hard liquor from the discard or waste beverages like soda and apple nectar</w:t>
      </w:r>
      <w:r w:rsidR="00C80D62" w:rsidRPr="00C80D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C80D62">
        <w:rPr>
          <w:rFonts w:ascii="Arial" w:hAnsi="Arial" w:cs="Arial"/>
          <w:sz w:val="24"/>
          <w:szCs w:val="24"/>
          <w:lang w:val="en-US"/>
        </w:rPr>
        <w:t>was investigated</w:t>
      </w:r>
      <w:proofErr w:type="gramEnd"/>
      <w:r w:rsidRPr="00C80D62">
        <w:rPr>
          <w:rFonts w:ascii="Arial" w:hAnsi="Arial" w:cs="Arial"/>
          <w:sz w:val="24"/>
          <w:szCs w:val="24"/>
          <w:lang w:val="en-US"/>
        </w:rPr>
        <w:t>. The process starts with an alcoholic fermentation and a subsequent</w:t>
      </w:r>
    </w:p>
    <w:p w:rsidR="006A7E48" w:rsidRPr="00C80D62" w:rsidRDefault="006A7E48" w:rsidP="00C80D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C80D62">
        <w:rPr>
          <w:rFonts w:ascii="Arial" w:hAnsi="Arial" w:cs="Arial"/>
          <w:sz w:val="24"/>
          <w:szCs w:val="24"/>
          <w:lang w:val="en-US"/>
        </w:rPr>
        <w:t>distillation</w:t>
      </w:r>
      <w:proofErr w:type="gramEnd"/>
      <w:r w:rsidRPr="00C80D62">
        <w:rPr>
          <w:rFonts w:ascii="Arial" w:hAnsi="Arial" w:cs="Arial"/>
          <w:sz w:val="24"/>
          <w:szCs w:val="24"/>
          <w:lang w:val="en-US"/>
        </w:rPr>
        <w:t xml:space="preserve">. For each </w:t>
      </w:r>
      <w:proofErr w:type="gramStart"/>
      <w:r w:rsidRPr="00C80D62">
        <w:rPr>
          <w:rFonts w:ascii="Arial" w:hAnsi="Arial" w:cs="Arial"/>
          <w:sz w:val="24"/>
          <w:szCs w:val="24"/>
          <w:lang w:val="en-US"/>
        </w:rPr>
        <w:t>sample</w:t>
      </w:r>
      <w:proofErr w:type="gramEnd"/>
      <w:r w:rsidRPr="00C80D62">
        <w:rPr>
          <w:rFonts w:ascii="Arial" w:hAnsi="Arial" w:cs="Arial"/>
          <w:sz w:val="24"/>
          <w:szCs w:val="24"/>
          <w:lang w:val="en-US"/>
        </w:rPr>
        <w:t xml:space="preserve"> two treatments were used to carry out the alcoholic fermentation.</w:t>
      </w:r>
      <w:r w:rsidR="00C80D62" w:rsidRPr="00C80D62">
        <w:rPr>
          <w:rFonts w:ascii="Arial" w:hAnsi="Arial" w:cs="Arial"/>
          <w:sz w:val="24"/>
          <w:szCs w:val="24"/>
          <w:lang w:val="en-US"/>
        </w:rPr>
        <w:t xml:space="preserve"> </w:t>
      </w:r>
      <w:r w:rsidRPr="00C80D62">
        <w:rPr>
          <w:rFonts w:ascii="Arial" w:hAnsi="Arial" w:cs="Arial"/>
          <w:sz w:val="24"/>
          <w:szCs w:val="24"/>
          <w:lang w:val="en-US"/>
        </w:rPr>
        <w:t>One treatment consisted in the direct fermentation of the samples while the other adjust pH to</w:t>
      </w:r>
      <w:r w:rsidR="00C80D62" w:rsidRPr="00C80D62">
        <w:rPr>
          <w:rFonts w:ascii="Arial" w:hAnsi="Arial" w:cs="Arial"/>
          <w:sz w:val="24"/>
          <w:szCs w:val="24"/>
          <w:lang w:val="en-US"/>
        </w:rPr>
        <w:t xml:space="preserve"> </w:t>
      </w:r>
      <w:r w:rsidRPr="00C80D62">
        <w:rPr>
          <w:rFonts w:ascii="Arial" w:hAnsi="Arial" w:cs="Arial"/>
          <w:sz w:val="24"/>
          <w:szCs w:val="24"/>
          <w:lang w:val="en-US"/>
        </w:rPr>
        <w:t>4.5 and added 0.2 g/l of ammonium phosphate. Except the yellow soda, all the samples with</w:t>
      </w:r>
      <w:r w:rsidR="00C80D62" w:rsidRPr="00C80D62">
        <w:rPr>
          <w:rFonts w:ascii="Arial" w:hAnsi="Arial" w:cs="Arial"/>
          <w:sz w:val="24"/>
          <w:szCs w:val="24"/>
          <w:lang w:val="en-US"/>
        </w:rPr>
        <w:t xml:space="preserve"> </w:t>
      </w:r>
      <w:r w:rsidRPr="00C80D62">
        <w:rPr>
          <w:rFonts w:ascii="Arial" w:hAnsi="Arial" w:cs="Arial"/>
          <w:sz w:val="24"/>
          <w:szCs w:val="24"/>
          <w:lang w:val="en-US"/>
        </w:rPr>
        <w:t>both treatments reached a complete fermentation. This difference may be due to the containing</w:t>
      </w:r>
      <w:r w:rsidR="00C80D62" w:rsidRPr="00C80D62">
        <w:rPr>
          <w:rFonts w:ascii="Arial" w:hAnsi="Arial" w:cs="Arial"/>
          <w:sz w:val="24"/>
          <w:szCs w:val="24"/>
          <w:lang w:val="en-US"/>
        </w:rPr>
        <w:t xml:space="preserve"> </w:t>
      </w:r>
      <w:r w:rsidRPr="00C80D62">
        <w:rPr>
          <w:rFonts w:ascii="Arial" w:hAnsi="Arial" w:cs="Arial"/>
          <w:sz w:val="24"/>
          <w:szCs w:val="24"/>
          <w:lang w:val="en-US"/>
        </w:rPr>
        <w:t>of the yellow soda of 0.2596 g/l of sodium benzoate, which is a yeast inhibitor. On the other</w:t>
      </w:r>
      <w:r w:rsidR="00C80D62" w:rsidRPr="00C80D62">
        <w:rPr>
          <w:rFonts w:ascii="Arial" w:hAnsi="Arial" w:cs="Arial"/>
          <w:sz w:val="24"/>
          <w:szCs w:val="24"/>
          <w:lang w:val="en-US"/>
        </w:rPr>
        <w:t xml:space="preserve"> </w:t>
      </w:r>
      <w:r w:rsidRPr="00C80D62">
        <w:rPr>
          <w:rFonts w:ascii="Arial" w:hAnsi="Arial" w:cs="Arial"/>
          <w:sz w:val="24"/>
          <w:szCs w:val="24"/>
          <w:lang w:val="en-US"/>
        </w:rPr>
        <w:t>hand, the sample that consists on a mixture of yellow and black soda and apple nectar, reached</w:t>
      </w:r>
      <w:r w:rsidR="00C80D62" w:rsidRPr="00C80D62">
        <w:rPr>
          <w:rFonts w:ascii="Arial" w:hAnsi="Arial" w:cs="Arial"/>
          <w:sz w:val="24"/>
          <w:szCs w:val="24"/>
          <w:lang w:val="en-US"/>
        </w:rPr>
        <w:t xml:space="preserve"> </w:t>
      </w:r>
      <w:r w:rsidRPr="00C80D62">
        <w:rPr>
          <w:rFonts w:ascii="Arial" w:hAnsi="Arial" w:cs="Arial"/>
          <w:sz w:val="24"/>
          <w:szCs w:val="24"/>
          <w:lang w:val="en-US"/>
        </w:rPr>
        <w:t xml:space="preserve">a complete fermentation when the treatment that adjust pH and added nutrients </w:t>
      </w:r>
      <w:proofErr w:type="gramStart"/>
      <w:r w:rsidRPr="00C80D62">
        <w:rPr>
          <w:rFonts w:ascii="Arial" w:hAnsi="Arial" w:cs="Arial"/>
          <w:sz w:val="24"/>
          <w:szCs w:val="24"/>
          <w:lang w:val="en-US"/>
        </w:rPr>
        <w:t>was applied</w:t>
      </w:r>
      <w:proofErr w:type="gramEnd"/>
      <w:r w:rsidRPr="00C80D62">
        <w:rPr>
          <w:rFonts w:ascii="Arial" w:hAnsi="Arial" w:cs="Arial"/>
          <w:sz w:val="24"/>
          <w:szCs w:val="24"/>
          <w:lang w:val="en-US"/>
        </w:rPr>
        <w:t>.</w:t>
      </w:r>
      <w:r w:rsidR="00C80D62" w:rsidRPr="00C80D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C80D62">
        <w:rPr>
          <w:rFonts w:ascii="Arial" w:hAnsi="Arial" w:cs="Arial"/>
          <w:sz w:val="24"/>
          <w:szCs w:val="24"/>
          <w:lang w:val="en-US"/>
        </w:rPr>
        <w:t>The statistical analysis of the alcoholic grade of the fermented samples indicated that there are</w:t>
      </w:r>
      <w:r w:rsidR="00C80D62" w:rsidRPr="00C80D62">
        <w:rPr>
          <w:rFonts w:ascii="Arial" w:hAnsi="Arial" w:cs="Arial"/>
          <w:sz w:val="24"/>
          <w:szCs w:val="24"/>
          <w:lang w:val="en-US"/>
        </w:rPr>
        <w:t xml:space="preserve"> </w:t>
      </w:r>
      <w:r w:rsidRPr="00C80D62">
        <w:rPr>
          <w:rFonts w:ascii="Arial" w:hAnsi="Arial" w:cs="Arial"/>
          <w:sz w:val="24"/>
          <w:szCs w:val="24"/>
          <w:lang w:val="en-US"/>
        </w:rPr>
        <w:t>no significant differences between the two treatments in the case of the black soda and the</w:t>
      </w:r>
      <w:r w:rsidR="00C80D62" w:rsidRPr="00C80D62">
        <w:rPr>
          <w:rFonts w:ascii="Arial" w:hAnsi="Arial" w:cs="Arial"/>
          <w:sz w:val="24"/>
          <w:szCs w:val="24"/>
          <w:lang w:val="en-US"/>
        </w:rPr>
        <w:t xml:space="preserve"> </w:t>
      </w:r>
      <w:r w:rsidRPr="00C80D62">
        <w:rPr>
          <w:rFonts w:ascii="Arial" w:hAnsi="Arial" w:cs="Arial"/>
          <w:sz w:val="24"/>
          <w:szCs w:val="24"/>
          <w:lang w:val="en-US"/>
        </w:rPr>
        <w:t xml:space="preserve">apple </w:t>
      </w:r>
      <w:proofErr w:type="spellStart"/>
      <w:r w:rsidRPr="00C80D62">
        <w:rPr>
          <w:rFonts w:ascii="Arial" w:hAnsi="Arial" w:cs="Arial"/>
          <w:sz w:val="24"/>
          <w:szCs w:val="24"/>
          <w:lang w:val="en-US"/>
        </w:rPr>
        <w:t>néctar</w:t>
      </w:r>
      <w:proofErr w:type="spellEnd"/>
      <w:r w:rsidRPr="00C80D62">
        <w:rPr>
          <w:rFonts w:ascii="Arial" w:hAnsi="Arial" w:cs="Arial"/>
          <w:sz w:val="24"/>
          <w:szCs w:val="24"/>
          <w:lang w:val="en-US"/>
        </w:rPr>
        <w:t>, whereas in the case of the mixture and the yellow soda there were significant</w:t>
      </w:r>
      <w:r w:rsidR="00C80D62" w:rsidRPr="00C80D62">
        <w:rPr>
          <w:rFonts w:ascii="Arial" w:hAnsi="Arial" w:cs="Arial"/>
          <w:sz w:val="24"/>
          <w:szCs w:val="24"/>
          <w:lang w:val="en-US"/>
        </w:rPr>
        <w:t xml:space="preserve"> </w:t>
      </w:r>
      <w:r w:rsidRPr="00C80D62">
        <w:rPr>
          <w:rFonts w:ascii="Arial" w:hAnsi="Arial" w:cs="Arial"/>
          <w:sz w:val="24"/>
          <w:szCs w:val="24"/>
          <w:lang w:val="en-US"/>
        </w:rPr>
        <w:t>differences obtaining higher alcohol content with the treatment that adjust the pH and added</w:t>
      </w:r>
      <w:r w:rsidR="00C80D62" w:rsidRPr="00C80D62">
        <w:rPr>
          <w:rFonts w:ascii="Arial" w:hAnsi="Arial" w:cs="Arial"/>
          <w:sz w:val="24"/>
          <w:szCs w:val="24"/>
          <w:lang w:val="en-US"/>
        </w:rPr>
        <w:t xml:space="preserve"> </w:t>
      </w:r>
      <w:r w:rsidRPr="00C80D62">
        <w:rPr>
          <w:rFonts w:ascii="Arial" w:hAnsi="Arial" w:cs="Arial"/>
          <w:sz w:val="24"/>
          <w:szCs w:val="24"/>
          <w:lang w:val="en-US"/>
        </w:rPr>
        <w:t>nutrients.</w:t>
      </w:r>
      <w:proofErr w:type="gramEnd"/>
      <w:r w:rsidRPr="00C80D62">
        <w:rPr>
          <w:rFonts w:ascii="Arial" w:hAnsi="Arial" w:cs="Arial"/>
          <w:sz w:val="24"/>
          <w:szCs w:val="24"/>
          <w:lang w:val="en-US"/>
        </w:rPr>
        <w:t xml:space="preserve"> The yields of hard liquor 40 ºG.L. obtained from black soda, apple </w:t>
      </w:r>
      <w:proofErr w:type="spellStart"/>
      <w:r w:rsidRPr="00C80D62">
        <w:rPr>
          <w:rFonts w:ascii="Arial" w:hAnsi="Arial" w:cs="Arial"/>
          <w:sz w:val="24"/>
          <w:szCs w:val="24"/>
          <w:lang w:val="en-US"/>
        </w:rPr>
        <w:t>néctar</w:t>
      </w:r>
      <w:proofErr w:type="spellEnd"/>
      <w:r w:rsidRPr="00C80D62">
        <w:rPr>
          <w:rFonts w:ascii="Arial" w:hAnsi="Arial" w:cs="Arial"/>
          <w:sz w:val="24"/>
          <w:szCs w:val="24"/>
          <w:lang w:val="en-US"/>
        </w:rPr>
        <w:t xml:space="preserve"> and the</w:t>
      </w:r>
      <w:r w:rsidR="00C80D62" w:rsidRPr="00C80D62">
        <w:rPr>
          <w:rFonts w:ascii="Arial" w:hAnsi="Arial" w:cs="Arial"/>
          <w:sz w:val="24"/>
          <w:szCs w:val="24"/>
          <w:lang w:val="en-US"/>
        </w:rPr>
        <w:t xml:space="preserve"> </w:t>
      </w:r>
      <w:r w:rsidRPr="00C80D62">
        <w:rPr>
          <w:rFonts w:ascii="Arial" w:hAnsi="Arial" w:cs="Arial"/>
          <w:sz w:val="24"/>
          <w:szCs w:val="24"/>
          <w:lang w:val="en-US"/>
        </w:rPr>
        <w:t>mixture were 16.6, 11.8 and 12.5 percent respectively.</w:t>
      </w:r>
    </w:p>
    <w:p w:rsidR="00C80D62" w:rsidRPr="00C80D62" w:rsidRDefault="00C80D62" w:rsidP="00C80D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6A7E48" w:rsidRPr="00C80D62" w:rsidRDefault="006A7E48" w:rsidP="00C80D62">
      <w:pPr>
        <w:jc w:val="both"/>
        <w:rPr>
          <w:rFonts w:ascii="Arial" w:hAnsi="Arial" w:cs="Arial"/>
          <w:lang w:val="en-US"/>
        </w:rPr>
      </w:pPr>
      <w:r w:rsidRPr="00C80D62">
        <w:rPr>
          <w:rFonts w:ascii="Arial" w:hAnsi="Arial" w:cs="Arial"/>
          <w:b/>
          <w:bCs/>
          <w:sz w:val="24"/>
          <w:szCs w:val="24"/>
          <w:lang w:val="en-US"/>
        </w:rPr>
        <w:t xml:space="preserve">Keywords: </w:t>
      </w:r>
      <w:r w:rsidRPr="00C80D62">
        <w:rPr>
          <w:rFonts w:ascii="Arial" w:hAnsi="Arial" w:cs="Arial"/>
          <w:sz w:val="24"/>
          <w:szCs w:val="24"/>
          <w:lang w:val="en-US"/>
        </w:rPr>
        <w:t xml:space="preserve">Discard beverages, </w:t>
      </w:r>
      <w:proofErr w:type="gramStart"/>
      <w:r w:rsidRPr="00C80D62">
        <w:rPr>
          <w:rFonts w:ascii="Arial" w:hAnsi="Arial" w:cs="Arial"/>
          <w:sz w:val="24"/>
          <w:szCs w:val="24"/>
          <w:lang w:val="en-US"/>
        </w:rPr>
        <w:t>Hard</w:t>
      </w:r>
      <w:proofErr w:type="gramEnd"/>
      <w:r w:rsidRPr="00C80D62">
        <w:rPr>
          <w:rFonts w:ascii="Arial" w:hAnsi="Arial" w:cs="Arial"/>
          <w:sz w:val="24"/>
          <w:szCs w:val="24"/>
          <w:lang w:val="en-US"/>
        </w:rPr>
        <w:t xml:space="preserve"> liquor, Treatments, Yield.</w:t>
      </w:r>
    </w:p>
    <w:p w:rsidR="000519A7" w:rsidRPr="00C80D62" w:rsidRDefault="000519A7" w:rsidP="00C80D62">
      <w:pPr>
        <w:jc w:val="both"/>
        <w:rPr>
          <w:rFonts w:ascii="Arial" w:hAnsi="Arial" w:cs="Arial"/>
          <w:lang w:val="en-US"/>
        </w:rPr>
      </w:pPr>
    </w:p>
    <w:p w:rsidR="000519A7" w:rsidRPr="00C80D62" w:rsidRDefault="000519A7" w:rsidP="00C80D62">
      <w:pPr>
        <w:jc w:val="both"/>
        <w:rPr>
          <w:rFonts w:ascii="Arial" w:hAnsi="Arial" w:cs="Arial"/>
          <w:lang w:val="en-US"/>
        </w:rPr>
      </w:pPr>
    </w:p>
    <w:sectPr w:rsidR="000519A7" w:rsidRPr="00C80D62" w:rsidSect="00C80D6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A7"/>
    <w:rsid w:val="000519A7"/>
    <w:rsid w:val="005745E6"/>
    <w:rsid w:val="006A7E48"/>
    <w:rsid w:val="00C8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2345A-DC31-4618-AA72-FEFE57BC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51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19A7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styleId="Textoennegrita">
    <w:name w:val="Strong"/>
    <w:basedOn w:val="Fuentedeprrafopredeter"/>
    <w:uiPriority w:val="22"/>
    <w:qFormat/>
    <w:rsid w:val="00051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7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0371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28014">
                              <w:marLeft w:val="1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13231">
                                  <w:marLeft w:val="5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05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.lamolina.edu.pe/search~S1*spi?/dEFECTO+DEL+ACONDICIONAMIENTO/defecto+del+acondicionamiento/-3,-1,0,B/browse" TargetMode="External"/><Relationship Id="rId13" Type="http://schemas.openxmlformats.org/officeDocument/2006/relationships/hyperlink" Target="http://ban.lamolina.edu.pe/search~S1*spi?/dSACCHAROMYCES+CEREVISIAE/dsaccharomyces+cerevisiae/-3,-1,0,B/browse" TargetMode="External"/><Relationship Id="rId18" Type="http://schemas.openxmlformats.org/officeDocument/2006/relationships/hyperlink" Target="http://ban.lamolina.edu.pe/search~S1*spi?/dPERU/dperu/-3,-1,0,B/brows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ban.lamolina.edu.pe/search~S1*spi?/dCARACTERIZACION+DE+AGUARDIENTES/dcaracterizacion+de+aguardientes/-3,-1,0,B/browse" TargetMode="External"/><Relationship Id="rId12" Type="http://schemas.openxmlformats.org/officeDocument/2006/relationships/hyperlink" Target="http://ban.lamolina.edu.pe/search~S1*spi?/dAGUARDIENTES/daguardientes/-3,-1,0,B/browse" TargetMode="External"/><Relationship Id="rId17" Type="http://schemas.openxmlformats.org/officeDocument/2006/relationships/hyperlink" Target="http://ban.lamolina.edu.pe/search~S1*spi?/dEVALUACION/devaluacion/-3,-1,0,B/brow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n.lamolina.edu.pe/search~S1*spi?/dRENDIMIENTO/drendimiento/-3,-1,0,B/brows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n.lamolina.edu.pe/search~S1*spi?/cQ02.+C88+-+T/cq++++02+c88+t/-3,-1,,E/browse" TargetMode="External"/><Relationship Id="rId11" Type="http://schemas.openxmlformats.org/officeDocument/2006/relationships/hyperlink" Target="http://ban.lamolina.edu.pe/search~S1*spi?/dJUGO+DE+FRUTAS/djugo+de+frutas/-3,-1,0,B/browse" TargetMode="External"/><Relationship Id="rId5" Type="http://schemas.openxmlformats.org/officeDocument/2006/relationships/hyperlink" Target="http://ban.lamolina.edu.pe/search~S1*spi?/aUniversidad+Nacional+Agraria+La+Molina%2C+Lima+%28Peru%29.++Facultad+de+Industrias+Alimentarias/auniversidad+nacional+agraria+la+molina+lima+peru+facultad+de+industrias+alimentarias/-3,-1,0,B/browse" TargetMode="External"/><Relationship Id="rId15" Type="http://schemas.openxmlformats.org/officeDocument/2006/relationships/hyperlink" Target="http://ban.lamolina.edu.pe/search~S1*spi?/dFERMENTACION+ALCOHOLICA/dfermentacion+alcoholica/-3,-1,0,B/browse" TargetMode="External"/><Relationship Id="rId10" Type="http://schemas.openxmlformats.org/officeDocument/2006/relationships/hyperlink" Target="http://ban.lamolina.edu.pe/search~S1*spi?/dGASEOSAS/dgaseosas/-3,-1,0,B/browse" TargetMode="External"/><Relationship Id="rId19" Type="http://schemas.openxmlformats.org/officeDocument/2006/relationships/hyperlink" Target="http://ban.lamolina.edu.pe/search~S1*spi?/dNECTARES+DE+DESCARTE/dnectares+de+descarte/-3,-1,0,B/browse" TargetMode="External"/><Relationship Id="rId4" Type="http://schemas.openxmlformats.org/officeDocument/2006/relationships/hyperlink" Target="http://ban.lamolina.edu.pe/search~S1*spi?/aCussianovich+Aguirre%2C+K.A./acussianovich+aguirre+k+a/-3,-1,0,B/browse" TargetMode="External"/><Relationship Id="rId9" Type="http://schemas.openxmlformats.org/officeDocument/2006/relationships/hyperlink" Target="http://ban.lamolina.edu.pe/search~S1*spi?/dGASEOSAS+DE+DESCARTE/dgaseosas+de+descarte/-3,-1,0,B/browse" TargetMode="External"/><Relationship Id="rId14" Type="http://schemas.openxmlformats.org/officeDocument/2006/relationships/hyperlink" Target="http://ban.lamolina.edu.pe/search~S1*spi?/dPROPIEDADES+FISICOQUIMICAS/dpropiedades+fisicoquimicas/-3,-1,0,B/brows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906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Coronado Trinidad</dc:creator>
  <cp:keywords/>
  <dc:description/>
  <cp:lastModifiedBy>Myriam Coronado Trinidad</cp:lastModifiedBy>
  <cp:revision>2</cp:revision>
  <dcterms:created xsi:type="dcterms:W3CDTF">2016-09-06T18:07:00Z</dcterms:created>
  <dcterms:modified xsi:type="dcterms:W3CDTF">2016-09-06T18:19:00Z</dcterms:modified>
</cp:coreProperties>
</file>