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62" w:rsidRPr="002C1793" w:rsidRDefault="002C1793" w:rsidP="002C179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C1793">
        <w:rPr>
          <w:rFonts w:ascii="Arial" w:hAnsi="Arial" w:cs="Arial"/>
          <w:b/>
          <w:sz w:val="24"/>
          <w:szCs w:val="24"/>
          <w:lang w:val="es-MX"/>
        </w:rPr>
        <w:t>RESUMEN</w:t>
      </w:r>
    </w:p>
    <w:p w:rsidR="002C1793" w:rsidRDefault="002C1793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2C1793" w:rsidRPr="002C1793" w:rsidTr="002C179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4" w:history="1">
                    <w:proofErr w:type="spellStart"/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Vergaray</w:t>
                    </w:r>
                    <w:proofErr w:type="spellEnd"/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 xml:space="preserve"> Roldán, Z.E.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5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  <w:proofErr w:type="spellEnd"/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). Facultad de Ingeniería Agrícola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</w:tbl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2C1793" w:rsidRPr="002C1793" w:rsidRDefault="002C1793" w:rsidP="002C179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2C1793" w:rsidRPr="002C1793" w:rsidTr="002C179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color w:val="767C70"/>
                      <w:sz w:val="20"/>
                      <w:szCs w:val="20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Estimación de las propiedades hidrodinámicas del </w:t>
                  </w:r>
                  <w:proofErr w:type="spellStart"/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acuifero</w:t>
                  </w:r>
                  <w:proofErr w:type="spellEnd"/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 Vizcachas con información de pruebas de recuperación y extensión de la duración de la prueba de bombeo</w:t>
                  </w:r>
                </w:p>
              </w:tc>
            </w:tr>
          </w:tbl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2C1793" w:rsidRPr="002C1793" w:rsidRDefault="002C1793" w:rsidP="002C179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2C1793" w:rsidRPr="002C1793" w:rsidTr="002C179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Lima (</w:t>
                  </w:r>
                  <w:proofErr w:type="spellStart"/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Peru</w:t>
                  </w:r>
                  <w:proofErr w:type="spellEnd"/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) UNALM 2014</w:t>
                  </w:r>
                </w:p>
              </w:tc>
            </w:tr>
          </w:tbl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2C1793" w:rsidRPr="002C1793" w:rsidRDefault="002C1793" w:rsidP="002C179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</w:pPr>
      <w:proofErr w:type="spellStart"/>
      <w:r w:rsidRPr="002C1793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2298"/>
        <w:gridCol w:w="3005"/>
      </w:tblGrid>
      <w:tr w:rsidR="002C1793" w:rsidRPr="002C1793" w:rsidTr="002C1793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C1793" w:rsidRPr="002C1793" w:rsidRDefault="002C1793" w:rsidP="002C179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C1793" w:rsidRPr="002C1793" w:rsidRDefault="002C1793" w:rsidP="002C179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C1793" w:rsidRPr="002C1793" w:rsidRDefault="002C1793" w:rsidP="002C179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Estado </w:t>
            </w:r>
          </w:p>
        </w:tc>
      </w:tr>
      <w:tr w:rsidR="002C1793" w:rsidRPr="002C1793" w:rsidTr="002C1793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6" w:history="1">
              <w:r w:rsidRPr="002C1793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PE"/>
                </w:rPr>
                <w:t>P10 V47 - T</w:t>
              </w:r>
            </w:hyperlink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 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USO EN SALA </w:t>
            </w:r>
          </w:p>
        </w:tc>
      </w:tr>
      <w:tr w:rsidR="002C1793" w:rsidRPr="002C1793" w:rsidTr="002C1793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7" w:history="1">
              <w:r w:rsidRPr="002C1793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PE"/>
                </w:rPr>
                <w:t>P10 V47 - T</w:t>
              </w:r>
            </w:hyperlink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 c.2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2C179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USO EN SALA </w:t>
            </w:r>
          </w:p>
        </w:tc>
      </w:tr>
      <w:tr w:rsidR="002C1793" w:rsidRPr="002C1793" w:rsidTr="002C1793">
        <w:tblPrEx>
          <w:tblCellSpacing w:w="0" w:type="nil"/>
          <w:shd w:val="clear" w:color="auto" w:fill="auto"/>
        </w:tblPrEx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100 p. 41 fig., 28 cuadros, 9 ref. Incluye CD ROM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Tesis (</w:t>
                  </w:r>
                  <w:proofErr w:type="spellStart"/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Ing</w:t>
                  </w:r>
                  <w:proofErr w:type="spellEnd"/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Agrícola)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Facultad Agrícola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Sumarios (En, Es)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2C179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Materia</w:t>
                  </w: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8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ACUIFERO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9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HIDRODINAMICA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0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PROPIEDADES MECANICAS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1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BOMBEO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2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POZOS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3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MEDICION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4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MODELOS ECONOMETRICOS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5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EVALUACION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6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PROCESAMIENTO DE DATOS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7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8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ACUIFERO VIZCACHAS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9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PROPIEDADES HIDRODINAMICAS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0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PRUEBAS DE RECUPERACION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1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PRUEBAS DE BOMBEO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2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PIEZOMETRO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3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CARUMAS [DIST]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4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MARISCAL NIETO [PROV]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2C1793" w:rsidRPr="002C1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1793" w:rsidRPr="002C1793" w:rsidRDefault="002C1793" w:rsidP="002C179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5" w:history="1">
                    <w:r w:rsidRPr="002C179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MOQUEGUA [DPTO]</w:t>
                    </w:r>
                  </w:hyperlink>
                  <w:r w:rsidRPr="002C179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</w:tbl>
          <w:p w:rsidR="002C1793" w:rsidRPr="002C1793" w:rsidRDefault="002C1793" w:rsidP="002C179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2C1793" w:rsidRDefault="002C1793">
      <w:pPr>
        <w:rPr>
          <w:lang w:val="es-MX"/>
        </w:rPr>
      </w:pPr>
    </w:p>
    <w:p w:rsidR="002C1793" w:rsidRDefault="002C1793">
      <w:pPr>
        <w:rPr>
          <w:lang w:val="es-MX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El presente trabajo contempla la estimación de las propiedades hidrodinámicas del acuífero Vizcachas, mediante el análisis de la información de las pruebas de bombeo y recuperación, así como la modificación de dicha información acorde con los requerimientos de información de nuevas metodologías propuestas por Van Der </w:t>
      </w:r>
      <w:proofErr w:type="spellStart"/>
      <w:r w:rsidRPr="002C1793">
        <w:rPr>
          <w:rFonts w:ascii="Arial" w:hAnsi="Arial" w:cs="Arial"/>
          <w:sz w:val="24"/>
          <w:szCs w:val="24"/>
        </w:rPr>
        <w:t>Kamp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1793">
        <w:rPr>
          <w:rFonts w:ascii="Arial" w:hAnsi="Arial" w:cs="Arial"/>
          <w:sz w:val="24"/>
          <w:szCs w:val="24"/>
        </w:rPr>
        <w:t>Chenaf</w:t>
      </w:r>
      <w:proofErr w:type="spellEnd"/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Las propiedades hidrodinámicas del acuífero fueron determinadas con información recopilada en campo sin modificación alguna, los métodos utilizados para la </w:t>
      </w:r>
      <w:r w:rsidRPr="002C1793">
        <w:rPr>
          <w:rFonts w:ascii="Arial" w:hAnsi="Arial" w:cs="Arial"/>
          <w:sz w:val="24"/>
          <w:szCs w:val="24"/>
        </w:rPr>
        <w:lastRenderedPageBreak/>
        <w:t xml:space="preserve">interpretación de dicha información fueron </w:t>
      </w:r>
      <w:proofErr w:type="spellStart"/>
      <w:r w:rsidRPr="002C1793">
        <w:rPr>
          <w:rFonts w:ascii="Arial" w:hAnsi="Arial" w:cs="Arial"/>
          <w:sz w:val="24"/>
          <w:szCs w:val="24"/>
        </w:rPr>
        <w:t>Theis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para acuíferos confinados y </w:t>
      </w:r>
      <w:proofErr w:type="spellStart"/>
      <w:r w:rsidRPr="002C1793">
        <w:rPr>
          <w:rFonts w:ascii="Arial" w:hAnsi="Arial" w:cs="Arial"/>
          <w:sz w:val="24"/>
          <w:szCs w:val="24"/>
        </w:rPr>
        <w:t>Neuman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para acuíferos libres. Posteriormente, la información inicial fue modificada acorde con las exigencias del método de superposición propuesto por Van Der </w:t>
      </w:r>
      <w:proofErr w:type="spellStart"/>
      <w:r w:rsidRPr="002C1793">
        <w:rPr>
          <w:rFonts w:ascii="Arial" w:hAnsi="Arial" w:cs="Arial"/>
          <w:sz w:val="24"/>
          <w:szCs w:val="24"/>
        </w:rPr>
        <w:t>Kamp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y el uso de la información de pruebas de recuperación para la determinación del coeficiente de almacenamiento.     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C1793">
        <w:rPr>
          <w:rFonts w:ascii="Arial" w:hAnsi="Arial" w:cs="Arial"/>
          <w:sz w:val="24"/>
          <w:szCs w:val="24"/>
        </w:rPr>
        <w:t>transmisividad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estimada mediante el método de </w:t>
      </w:r>
      <w:proofErr w:type="spellStart"/>
      <w:r w:rsidRPr="002C1793">
        <w:rPr>
          <w:rFonts w:ascii="Arial" w:hAnsi="Arial" w:cs="Arial"/>
          <w:sz w:val="24"/>
          <w:szCs w:val="24"/>
        </w:rPr>
        <w:t>Theis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1793">
        <w:rPr>
          <w:rFonts w:ascii="Arial" w:hAnsi="Arial" w:cs="Arial"/>
          <w:sz w:val="24"/>
          <w:szCs w:val="24"/>
        </w:rPr>
        <w:t>Neuman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aplicada a la información de los pozos PV-1, PV-2, PV-3, PV5 y piezómetros TDV-1 y TDV-3  fueron  124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805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507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120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171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114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 respectivamente, los coeficientes de almacenamiento y rendimiento específico obtenidos fueron 3.9x10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6.1x10</w:t>
      </w:r>
      <w:r w:rsidRPr="002C1793">
        <w:rPr>
          <w:rFonts w:ascii="Arial" w:hAnsi="Arial" w:cs="Arial"/>
          <w:sz w:val="24"/>
          <w:szCs w:val="24"/>
          <w:vertAlign w:val="superscript"/>
        </w:rPr>
        <w:t>-2</w:t>
      </w:r>
      <w:r w:rsidRPr="002C1793">
        <w:rPr>
          <w:rFonts w:ascii="Arial" w:hAnsi="Arial" w:cs="Arial"/>
          <w:sz w:val="24"/>
          <w:szCs w:val="24"/>
        </w:rPr>
        <w:t>, 1.8x10</w:t>
      </w:r>
      <w:r w:rsidRPr="002C1793">
        <w:rPr>
          <w:rFonts w:ascii="Arial" w:hAnsi="Arial" w:cs="Arial"/>
          <w:sz w:val="24"/>
          <w:szCs w:val="24"/>
          <w:vertAlign w:val="superscript"/>
        </w:rPr>
        <w:t>-2</w:t>
      </w:r>
      <w:r w:rsidRPr="002C1793">
        <w:rPr>
          <w:rFonts w:ascii="Arial" w:hAnsi="Arial" w:cs="Arial"/>
          <w:sz w:val="24"/>
          <w:szCs w:val="24"/>
        </w:rPr>
        <w:t>, 5.02x10</w:t>
      </w:r>
      <w:r w:rsidRPr="002C1793">
        <w:rPr>
          <w:rFonts w:ascii="Arial" w:hAnsi="Arial" w:cs="Arial"/>
          <w:sz w:val="24"/>
          <w:szCs w:val="24"/>
          <w:vertAlign w:val="superscript"/>
        </w:rPr>
        <w:t>-2</w:t>
      </w:r>
      <w:r w:rsidRPr="002C1793">
        <w:rPr>
          <w:rFonts w:ascii="Arial" w:hAnsi="Arial" w:cs="Arial"/>
          <w:sz w:val="24"/>
          <w:szCs w:val="24"/>
        </w:rPr>
        <w:t>, 1.54x10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 xml:space="preserve"> y 8x10</w:t>
      </w:r>
      <w:r w:rsidRPr="002C1793">
        <w:rPr>
          <w:rFonts w:ascii="Arial" w:hAnsi="Arial" w:cs="Arial"/>
          <w:sz w:val="24"/>
          <w:szCs w:val="24"/>
          <w:vertAlign w:val="superscript"/>
        </w:rPr>
        <w:t>-5</w:t>
      </w:r>
      <w:r w:rsidRPr="002C1793">
        <w:rPr>
          <w:rFonts w:ascii="Arial" w:hAnsi="Arial" w:cs="Arial"/>
          <w:sz w:val="24"/>
          <w:szCs w:val="24"/>
        </w:rPr>
        <w:t>, respectivamente.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2C1793">
        <w:rPr>
          <w:rFonts w:ascii="Arial" w:hAnsi="Arial" w:cs="Arial"/>
          <w:sz w:val="24"/>
          <w:szCs w:val="24"/>
        </w:rPr>
        <w:t>transmisividades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estimadas mediante el método de superposición de Van Der </w:t>
      </w:r>
      <w:proofErr w:type="spellStart"/>
      <w:r w:rsidRPr="002C1793">
        <w:rPr>
          <w:rFonts w:ascii="Arial" w:hAnsi="Arial" w:cs="Arial"/>
          <w:sz w:val="24"/>
          <w:szCs w:val="24"/>
        </w:rPr>
        <w:t>Kamp</w:t>
      </w:r>
      <w:proofErr w:type="spellEnd"/>
      <w:r w:rsidRPr="002C1793">
        <w:rPr>
          <w:rFonts w:ascii="Arial" w:hAnsi="Arial" w:cs="Arial"/>
          <w:sz w:val="24"/>
          <w:szCs w:val="24"/>
        </w:rPr>
        <w:t>, fueron 123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785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444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117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/d, 157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 y 96.9 m</w:t>
      </w:r>
      <w:r w:rsidRPr="002C1793">
        <w:rPr>
          <w:rFonts w:ascii="Arial" w:hAnsi="Arial" w:cs="Arial"/>
          <w:sz w:val="24"/>
          <w:szCs w:val="24"/>
          <w:vertAlign w:val="superscript"/>
        </w:rPr>
        <w:t>2</w:t>
      </w:r>
      <w:r w:rsidRPr="002C1793">
        <w:rPr>
          <w:rFonts w:ascii="Arial" w:hAnsi="Arial" w:cs="Arial"/>
          <w:sz w:val="24"/>
          <w:szCs w:val="24"/>
        </w:rPr>
        <w:t>/d para los pozos y piezómetros antes mencionados, así como los coeficientes de almacenamiento y rendimiento específico fueron 4.9x10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6.1x10</w:t>
      </w:r>
      <w:r w:rsidRPr="002C1793">
        <w:rPr>
          <w:rFonts w:ascii="Arial" w:hAnsi="Arial" w:cs="Arial"/>
          <w:sz w:val="24"/>
          <w:szCs w:val="24"/>
          <w:vertAlign w:val="superscript"/>
        </w:rPr>
        <w:t>-2</w:t>
      </w:r>
      <w:r w:rsidRPr="002C1793">
        <w:rPr>
          <w:rFonts w:ascii="Arial" w:hAnsi="Arial" w:cs="Arial"/>
          <w:sz w:val="24"/>
          <w:szCs w:val="24"/>
        </w:rPr>
        <w:t>, 1.8x10</w:t>
      </w:r>
      <w:r w:rsidRPr="002C1793">
        <w:rPr>
          <w:rFonts w:ascii="Arial" w:hAnsi="Arial" w:cs="Arial"/>
          <w:sz w:val="24"/>
          <w:szCs w:val="24"/>
          <w:vertAlign w:val="superscript"/>
        </w:rPr>
        <w:t>-2</w:t>
      </w:r>
      <w:r w:rsidRPr="002C1793">
        <w:rPr>
          <w:rFonts w:ascii="Arial" w:hAnsi="Arial" w:cs="Arial"/>
          <w:sz w:val="24"/>
          <w:szCs w:val="24"/>
        </w:rPr>
        <w:t>, 5.3x10</w:t>
      </w:r>
      <w:r w:rsidRPr="002C1793">
        <w:rPr>
          <w:rFonts w:ascii="Arial" w:hAnsi="Arial" w:cs="Arial"/>
          <w:sz w:val="24"/>
          <w:szCs w:val="24"/>
          <w:vertAlign w:val="superscript"/>
        </w:rPr>
        <w:t>-2</w:t>
      </w:r>
      <w:r w:rsidRPr="002C1793">
        <w:rPr>
          <w:rFonts w:ascii="Arial" w:hAnsi="Arial" w:cs="Arial"/>
          <w:sz w:val="24"/>
          <w:szCs w:val="24"/>
        </w:rPr>
        <w:t>, 1.67x10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 xml:space="preserve"> y 1x10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respectivamente.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Del análisis comparativo entre ambos resultados se observa que los valores de </w:t>
      </w:r>
      <w:proofErr w:type="spellStart"/>
      <w:r w:rsidRPr="002C1793">
        <w:rPr>
          <w:rFonts w:ascii="Arial" w:hAnsi="Arial" w:cs="Arial"/>
          <w:sz w:val="24"/>
          <w:szCs w:val="24"/>
        </w:rPr>
        <w:t>transmisividad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disminuyen con el método de superposición de Van Der </w:t>
      </w:r>
      <w:proofErr w:type="spellStart"/>
      <w:r w:rsidRPr="002C1793">
        <w:rPr>
          <w:rFonts w:ascii="Arial" w:hAnsi="Arial" w:cs="Arial"/>
          <w:sz w:val="24"/>
          <w:szCs w:val="24"/>
        </w:rPr>
        <w:t>Kamp</w:t>
      </w:r>
      <w:proofErr w:type="spellEnd"/>
      <w:r w:rsidRPr="002C1793">
        <w:rPr>
          <w:rFonts w:ascii="Arial" w:hAnsi="Arial" w:cs="Arial"/>
          <w:sz w:val="24"/>
          <w:szCs w:val="24"/>
        </w:rPr>
        <w:t>; sin embargo, el coeficiente de almacenamiento en acuíferos confinados y rendimiento específico en acuíferos libres aumentan ligeramente, considerándose similares.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Por otro lado, se estimó el coeficiente de almacenamiento del acuífero confinado por el método de Jacob, con datos sin modificación. Posteriormente, la información inicial fue modificada de acuerdo a los requerimientos del método abatimiento residual normalizado de </w:t>
      </w:r>
      <w:proofErr w:type="spellStart"/>
      <w:r w:rsidRPr="002C1793">
        <w:rPr>
          <w:rFonts w:ascii="Arial" w:hAnsi="Arial" w:cs="Arial"/>
          <w:sz w:val="24"/>
          <w:szCs w:val="24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y el método de recuperación de </w:t>
      </w:r>
      <w:proofErr w:type="spellStart"/>
      <w:r w:rsidRPr="002C1793">
        <w:rPr>
          <w:rFonts w:ascii="Arial" w:hAnsi="Arial" w:cs="Arial"/>
          <w:sz w:val="24"/>
          <w:szCs w:val="24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</w:rPr>
        <w:t>, empleando datos de prueba de recuperación.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lastRenderedPageBreak/>
        <w:t xml:space="preserve">Los coeficientes de almacenamiento estimados por el método de </w:t>
      </w:r>
      <w:proofErr w:type="gramStart"/>
      <w:r w:rsidRPr="002C1793">
        <w:rPr>
          <w:rFonts w:ascii="Arial" w:hAnsi="Arial" w:cs="Arial"/>
          <w:sz w:val="24"/>
          <w:szCs w:val="24"/>
        </w:rPr>
        <w:t>Jacob  fueron</w:t>
      </w:r>
      <w:proofErr w:type="gramEnd"/>
      <w:r w:rsidRPr="002C1793">
        <w:rPr>
          <w:rFonts w:ascii="Arial" w:hAnsi="Arial" w:cs="Arial"/>
          <w:sz w:val="24"/>
          <w:szCs w:val="24"/>
        </w:rPr>
        <w:t xml:space="preserve"> 3x10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 xml:space="preserve"> y 5x10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>, para el  pozo PV-1 y piezómetros TDV-1 y TDV-3, respectivamente.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Mediante el método abatimiento residual normalizado de </w:t>
      </w:r>
      <w:proofErr w:type="spellStart"/>
      <w:r w:rsidRPr="002C1793">
        <w:rPr>
          <w:rFonts w:ascii="Arial" w:hAnsi="Arial" w:cs="Arial"/>
          <w:sz w:val="24"/>
          <w:szCs w:val="24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</w:rPr>
        <w:t>, los coeficientes de almacenamiento fueron 3x10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 xml:space="preserve"> y 5x10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>, y los coeficientes de almacenamiento residual fueron   3x10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 xml:space="preserve"> y 5x10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>, para el pozo y piezómetros, anteriormente mencionados.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 xml:space="preserve">Los coeficientes de almacenamiento residual estimado por el método de recuperación de </w:t>
      </w:r>
      <w:proofErr w:type="spellStart"/>
      <w:r w:rsidRPr="002C1793">
        <w:rPr>
          <w:rFonts w:ascii="Arial" w:hAnsi="Arial" w:cs="Arial"/>
          <w:sz w:val="24"/>
          <w:szCs w:val="24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</w:rPr>
        <w:t xml:space="preserve"> fueron 3x10</w:t>
      </w:r>
      <w:r w:rsidRPr="002C1793">
        <w:rPr>
          <w:rFonts w:ascii="Arial" w:hAnsi="Arial" w:cs="Arial"/>
          <w:sz w:val="24"/>
          <w:szCs w:val="24"/>
          <w:vertAlign w:val="superscript"/>
        </w:rPr>
        <w:t>-4</w:t>
      </w:r>
      <w:r w:rsidRPr="002C1793">
        <w:rPr>
          <w:rFonts w:ascii="Arial" w:hAnsi="Arial" w:cs="Arial"/>
          <w:sz w:val="24"/>
          <w:szCs w:val="24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 xml:space="preserve"> y 5x10</w:t>
      </w:r>
      <w:r w:rsidRPr="002C1793">
        <w:rPr>
          <w:rFonts w:ascii="Arial" w:hAnsi="Arial" w:cs="Arial"/>
          <w:sz w:val="24"/>
          <w:szCs w:val="24"/>
          <w:vertAlign w:val="superscript"/>
        </w:rPr>
        <w:t>-3</w:t>
      </w:r>
      <w:r w:rsidRPr="002C1793">
        <w:rPr>
          <w:rFonts w:ascii="Arial" w:hAnsi="Arial" w:cs="Arial"/>
          <w:sz w:val="24"/>
          <w:szCs w:val="24"/>
        </w:rPr>
        <w:t>, para los pozos previamente señalados.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1793">
        <w:rPr>
          <w:rFonts w:ascii="Arial" w:hAnsi="Arial" w:cs="Arial"/>
          <w:sz w:val="24"/>
          <w:szCs w:val="24"/>
        </w:rPr>
        <w:t>Comparando los tres métodos se observa que los valores de los coeficientes de almacenamiento estimados son similares.</w:t>
      </w:r>
    </w:p>
    <w:p w:rsidR="002C1793" w:rsidRPr="002C1793" w:rsidRDefault="002C1793">
      <w:pPr>
        <w:rPr>
          <w:rFonts w:ascii="Arial" w:hAnsi="Arial" w:cs="Arial"/>
        </w:rPr>
      </w:pPr>
    </w:p>
    <w:p w:rsidR="002C1793" w:rsidRPr="002C1793" w:rsidRDefault="002C1793">
      <w:pPr>
        <w:rPr>
          <w:rFonts w:ascii="Arial" w:hAnsi="Arial" w:cs="Arial"/>
          <w:lang w:val="es-MX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 xml:space="preserve">This paper includes the determination of the hydrodynamic properties of the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Vizcachas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aquifer by analyzing information from pumping and recovery tests, and modification of such information in accordance with the requirements of new proposed methodologies by Van Der Kamp and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>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 xml:space="preserve">The hydrodynamic properties of the aquifer were determined with data collected in the field without any modifications; the used methods for the interpretation of this information were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Theis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for confined aquifers and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Neuman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for unconfined aquifers. Subsequently, the initial information </w:t>
      </w:r>
      <w:proofErr w:type="gramStart"/>
      <w:r w:rsidRPr="002C1793">
        <w:rPr>
          <w:rFonts w:ascii="Arial" w:hAnsi="Arial" w:cs="Arial"/>
          <w:sz w:val="24"/>
          <w:szCs w:val="24"/>
          <w:lang w:val="en-US"/>
        </w:rPr>
        <w:t>has been modified</w:t>
      </w:r>
      <w:proofErr w:type="gramEnd"/>
      <w:r w:rsidRPr="002C1793">
        <w:rPr>
          <w:rFonts w:ascii="Arial" w:hAnsi="Arial" w:cs="Arial"/>
          <w:sz w:val="24"/>
          <w:szCs w:val="24"/>
          <w:lang w:val="en-US"/>
        </w:rPr>
        <w:t xml:space="preserve"> according to the requirements of the superposition method proposed by Van Der Kamp and using recovery test's data for determining the storage coefficient.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 xml:space="preserve">The transmissivity estimated by the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Theis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Neuman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methods for wells PV-1, PV-2, PV-3, PV-5 and piezometers TDV-1 and TDV-3 were 124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805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/d, 507 </w:t>
      </w:r>
      <w:r w:rsidRPr="002C1793">
        <w:rPr>
          <w:rFonts w:ascii="Arial" w:hAnsi="Arial" w:cs="Arial"/>
          <w:sz w:val="24"/>
          <w:szCs w:val="24"/>
          <w:lang w:val="en-US"/>
        </w:rPr>
        <w:lastRenderedPageBreak/>
        <w:t>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120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   171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114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 respectively, the storage coefficients and specific yield were 3.9x10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 w:rsidRPr="002C1793">
        <w:rPr>
          <w:rFonts w:ascii="Arial" w:hAnsi="Arial" w:cs="Arial"/>
          <w:sz w:val="24"/>
          <w:szCs w:val="24"/>
          <w:lang w:val="en-US"/>
        </w:rPr>
        <w:t>, 6.1x10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-2</w:t>
      </w:r>
      <w:r w:rsidRPr="002C1793">
        <w:rPr>
          <w:rFonts w:ascii="Arial" w:hAnsi="Arial" w:cs="Arial"/>
          <w:sz w:val="24"/>
          <w:szCs w:val="24"/>
          <w:lang w:val="en-US"/>
        </w:rPr>
        <w:t>, 1.8x10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-2</w:t>
      </w:r>
      <w:r w:rsidRPr="002C1793">
        <w:rPr>
          <w:rFonts w:ascii="Arial" w:hAnsi="Arial" w:cs="Arial"/>
          <w:sz w:val="24"/>
          <w:szCs w:val="24"/>
          <w:lang w:val="en-US"/>
        </w:rPr>
        <w:t>, 5.02x10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-2</w:t>
      </w:r>
      <w:r w:rsidRPr="002C1793">
        <w:rPr>
          <w:rFonts w:ascii="Arial" w:hAnsi="Arial" w:cs="Arial"/>
          <w:sz w:val="24"/>
          <w:szCs w:val="24"/>
          <w:lang w:val="en-US"/>
        </w:rPr>
        <w:t>, 1.54x10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and 8x10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-5</w:t>
      </w:r>
      <w:r w:rsidRPr="002C1793">
        <w:rPr>
          <w:rFonts w:ascii="Arial" w:hAnsi="Arial" w:cs="Arial"/>
          <w:sz w:val="24"/>
          <w:szCs w:val="24"/>
          <w:lang w:val="en-US"/>
        </w:rPr>
        <w:t>, respectively.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>The transmissivity estimated by the method of superposition of Van Der Kamp, were           123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785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444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117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/d, 157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 y 96.9 m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C1793">
        <w:rPr>
          <w:rFonts w:ascii="Arial" w:hAnsi="Arial" w:cs="Arial"/>
          <w:sz w:val="24"/>
          <w:szCs w:val="24"/>
          <w:lang w:val="en-US"/>
        </w:rPr>
        <w:t>/d for wells and piezometers mentioned above, the storage coefficient and specific yield were 4.9x10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 w:rsidRPr="002C1793">
        <w:rPr>
          <w:rFonts w:ascii="Arial" w:hAnsi="Arial" w:cs="Arial"/>
          <w:sz w:val="24"/>
          <w:szCs w:val="24"/>
          <w:lang w:val="en-US"/>
        </w:rPr>
        <w:t>, 6.1x10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-2</w:t>
      </w:r>
      <w:r w:rsidRPr="002C1793">
        <w:rPr>
          <w:rFonts w:ascii="Arial" w:hAnsi="Arial" w:cs="Arial"/>
          <w:sz w:val="24"/>
          <w:szCs w:val="24"/>
          <w:lang w:val="en-US"/>
        </w:rPr>
        <w:t>, 1.8x10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-2</w:t>
      </w:r>
      <w:r w:rsidRPr="002C1793">
        <w:rPr>
          <w:rFonts w:ascii="Arial" w:hAnsi="Arial" w:cs="Arial"/>
          <w:sz w:val="24"/>
          <w:szCs w:val="24"/>
          <w:lang w:val="en-US"/>
        </w:rPr>
        <w:t>, 5.3x10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-2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, 1.67x10 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and 1x10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- 4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respectively.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>The comparative analysis between the results show that the values ​​of transmissivity decreases with Van Der Kamp method; however, the storage coefficient in confined aquifers and specific yield in unconfined aquifers increase slightly, so is considering as similar result.</w:t>
      </w:r>
      <w:bookmarkStart w:id="0" w:name="_GoBack"/>
      <w:bookmarkEnd w:id="0"/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 xml:space="preserve">In the other hand, the storage coefficient of the aquifer confined </w:t>
      </w:r>
      <w:proofErr w:type="gramStart"/>
      <w:r w:rsidRPr="002C1793">
        <w:rPr>
          <w:rFonts w:ascii="Arial" w:hAnsi="Arial" w:cs="Arial"/>
          <w:sz w:val="24"/>
          <w:szCs w:val="24"/>
          <w:lang w:val="en-US"/>
        </w:rPr>
        <w:t>was estimated</w:t>
      </w:r>
      <w:proofErr w:type="gramEnd"/>
      <w:r w:rsidRPr="002C1793">
        <w:rPr>
          <w:rFonts w:ascii="Arial" w:hAnsi="Arial" w:cs="Arial"/>
          <w:sz w:val="24"/>
          <w:szCs w:val="24"/>
          <w:lang w:val="en-US"/>
        </w:rPr>
        <w:t xml:space="preserve"> by the Jacob method without data modification. Subsequently, the initial information </w:t>
      </w:r>
      <w:proofErr w:type="gramStart"/>
      <w:r w:rsidRPr="002C1793">
        <w:rPr>
          <w:rFonts w:ascii="Arial" w:hAnsi="Arial" w:cs="Arial"/>
          <w:sz w:val="24"/>
          <w:szCs w:val="24"/>
          <w:lang w:val="en-US"/>
        </w:rPr>
        <w:t>was modified</w:t>
      </w:r>
      <w:proofErr w:type="gramEnd"/>
      <w:r w:rsidRPr="002C1793">
        <w:rPr>
          <w:rFonts w:ascii="Arial" w:hAnsi="Arial" w:cs="Arial"/>
          <w:sz w:val="24"/>
          <w:szCs w:val="24"/>
          <w:lang w:val="en-US"/>
        </w:rPr>
        <w:t xml:space="preserve"> according to the requirements of the normalized residual drawdown method by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recovery method using test data recovery.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>Storage coefficients estimated by Jacob method were 3x10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 w:rsidRPr="002C1793">
        <w:rPr>
          <w:rFonts w:ascii="Arial" w:hAnsi="Arial" w:cs="Arial"/>
          <w:sz w:val="24"/>
          <w:szCs w:val="24"/>
          <w:lang w:val="en-US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and 5x10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 xml:space="preserve">- </w:t>
      </w:r>
      <w:proofErr w:type="gramStart"/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proofErr w:type="gramEnd"/>
      <w:r w:rsidRPr="002C1793">
        <w:rPr>
          <w:rFonts w:ascii="Arial" w:hAnsi="Arial" w:cs="Arial"/>
          <w:sz w:val="24"/>
          <w:szCs w:val="24"/>
          <w:lang w:val="en-US"/>
        </w:rPr>
        <w:t xml:space="preserve"> for the PV-1 well and piezometers TDV-1 and TDV-3, respectively.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 xml:space="preserve">By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normalized residual drawdown method, storage coefficients were 3x10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 w:rsidRPr="002C1793">
        <w:rPr>
          <w:rFonts w:ascii="Arial" w:hAnsi="Arial" w:cs="Arial"/>
          <w:sz w:val="24"/>
          <w:szCs w:val="24"/>
          <w:lang w:val="en-US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and 5x10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>, and storage coefficients were 3x10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 w:rsidRPr="002C1793">
        <w:rPr>
          <w:rFonts w:ascii="Arial" w:hAnsi="Arial" w:cs="Arial"/>
          <w:sz w:val="24"/>
          <w:szCs w:val="24"/>
          <w:lang w:val="en-US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and 5x10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for the well and piezometers respectively.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 xml:space="preserve">Storage residual coefficients estimated by </w:t>
      </w:r>
      <w:proofErr w:type="spellStart"/>
      <w:r w:rsidRPr="002C1793">
        <w:rPr>
          <w:rFonts w:ascii="Arial" w:hAnsi="Arial" w:cs="Arial"/>
          <w:sz w:val="24"/>
          <w:szCs w:val="24"/>
          <w:lang w:val="en-US"/>
        </w:rPr>
        <w:t>Chenaf</w:t>
      </w:r>
      <w:proofErr w:type="spellEnd"/>
      <w:r w:rsidRPr="002C1793">
        <w:rPr>
          <w:rFonts w:ascii="Arial" w:hAnsi="Arial" w:cs="Arial"/>
          <w:sz w:val="24"/>
          <w:szCs w:val="24"/>
          <w:lang w:val="en-US"/>
        </w:rPr>
        <w:t xml:space="preserve"> recovery method were 3x10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 w:rsidRPr="002C1793">
        <w:rPr>
          <w:rFonts w:ascii="Arial" w:hAnsi="Arial" w:cs="Arial"/>
          <w:sz w:val="24"/>
          <w:szCs w:val="24"/>
          <w:lang w:val="en-US"/>
        </w:rPr>
        <w:t>, 2x10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 xml:space="preserve"> and 5x10</w:t>
      </w:r>
      <w:r w:rsidRPr="002C1793">
        <w:rPr>
          <w:rFonts w:ascii="Arial" w:hAnsi="Arial" w:cs="Arial"/>
          <w:sz w:val="24"/>
          <w:szCs w:val="24"/>
          <w:vertAlign w:val="superscript"/>
          <w:lang w:val="en-US"/>
        </w:rPr>
        <w:t>-3</w:t>
      </w:r>
      <w:r w:rsidRPr="002C1793">
        <w:rPr>
          <w:rFonts w:ascii="Arial" w:hAnsi="Arial" w:cs="Arial"/>
          <w:sz w:val="24"/>
          <w:szCs w:val="24"/>
          <w:lang w:val="en-US"/>
        </w:rPr>
        <w:t>, for the previously mentioned wells and piezometers.</w:t>
      </w: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1793" w:rsidRPr="002C1793" w:rsidRDefault="002C1793" w:rsidP="002C17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793">
        <w:rPr>
          <w:rFonts w:ascii="Arial" w:hAnsi="Arial" w:cs="Arial"/>
          <w:sz w:val="24"/>
          <w:szCs w:val="24"/>
          <w:lang w:val="en-US"/>
        </w:rPr>
        <w:t>Comparing the results of the three methods, the estimated values ​​of the storage coefficient are similar.</w:t>
      </w:r>
    </w:p>
    <w:p w:rsidR="002C1793" w:rsidRPr="002C1793" w:rsidRDefault="002C1793" w:rsidP="002C1793">
      <w:pPr>
        <w:rPr>
          <w:rFonts w:ascii="Arial" w:hAnsi="Arial" w:cs="Arial"/>
          <w:lang w:val="en-US"/>
        </w:rPr>
      </w:pPr>
    </w:p>
    <w:p w:rsidR="002C1793" w:rsidRPr="002C1793" w:rsidRDefault="002C1793">
      <w:pPr>
        <w:rPr>
          <w:rFonts w:ascii="Arial" w:hAnsi="Arial" w:cs="Arial"/>
          <w:lang w:val="en-US"/>
        </w:rPr>
      </w:pPr>
    </w:p>
    <w:sectPr w:rsidR="002C1793" w:rsidRPr="002C1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93"/>
    <w:rsid w:val="002C1793"/>
    <w:rsid w:val="006045BA"/>
    <w:rsid w:val="007305F1"/>
    <w:rsid w:val="00B05E62"/>
    <w:rsid w:val="00C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80E33-99C8-4F77-9AD6-D8AC471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1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179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Textoennegrita">
    <w:name w:val="Strong"/>
    <w:basedOn w:val="Fuentedeprrafopredeter"/>
    <w:uiPriority w:val="22"/>
    <w:qFormat/>
    <w:rsid w:val="002C1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883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6261">
                              <w:marLeft w:val="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5061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ACUIFERO/dacuifero/-3,-1,0,B/browse" TargetMode="External"/><Relationship Id="rId13" Type="http://schemas.openxmlformats.org/officeDocument/2006/relationships/hyperlink" Target="http://ban.lamolina.edu.pe/search~S1*spi?/dMEDICION/dmedicion/-3,-1,0,B/browse" TargetMode="External"/><Relationship Id="rId18" Type="http://schemas.openxmlformats.org/officeDocument/2006/relationships/hyperlink" Target="http://ban.lamolina.edu.pe/search~S1*spi?/dACUIFERO+VIZCACHAS/dacuifero+vizcachas/-3,-1,0,B/brows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an.lamolina.edu.pe/search~S1*spi?/dPRUEBAS+DE+BOMBEO/dpruebas+de+bombeo/-3,-1,0,B/browse" TargetMode="External"/><Relationship Id="rId7" Type="http://schemas.openxmlformats.org/officeDocument/2006/relationships/hyperlink" Target="http://ban.lamolina.edu.pe/search~S1*spi?/cP10+V47+-+T/cp++++10+v47+t/-3,-1,,E/browse" TargetMode="External"/><Relationship Id="rId12" Type="http://schemas.openxmlformats.org/officeDocument/2006/relationships/hyperlink" Target="http://ban.lamolina.edu.pe/search~S1*spi?/dPOZOS/dpozos/-3,-1,0,B/browse" TargetMode="External"/><Relationship Id="rId17" Type="http://schemas.openxmlformats.org/officeDocument/2006/relationships/hyperlink" Target="http://ban.lamolina.edu.pe/search~S1*spi?/dPERU/dperu/-3,-1,0,B/browse" TargetMode="External"/><Relationship Id="rId25" Type="http://schemas.openxmlformats.org/officeDocument/2006/relationships/hyperlink" Target="http://ban.lamolina.edu.pe/search~S1*spi?/dMOQUEGUA+%5bDPTO%5d/dmoquegua+dpto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PROCESAMIENTO+DE+DATOS/dprocesamiento+de+datos/-3,-1,0,B/browse" TargetMode="External"/><Relationship Id="rId20" Type="http://schemas.openxmlformats.org/officeDocument/2006/relationships/hyperlink" Target="http://ban.lamolina.edu.pe/search~S1*spi?/dPRUEBAS+DE+RECUPERACION/dpruebas+de+recuperacion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P10+V47+-+T/cp++++10+v47+t/-3,-1,,E/browse" TargetMode="External"/><Relationship Id="rId11" Type="http://schemas.openxmlformats.org/officeDocument/2006/relationships/hyperlink" Target="http://ban.lamolina.edu.pe/search~S1*spi?/dBOMBEO/dbombeo/-3,-1,0,B/browse" TargetMode="External"/><Relationship Id="rId24" Type="http://schemas.openxmlformats.org/officeDocument/2006/relationships/hyperlink" Target="http://ban.lamolina.edu.pe/search~S1*spi?/dMARISCAL+NIETO+%5bPROV%5d/dmariscal+nieto+prov/-3,-1,0,B/browse" TargetMode="External"/><Relationship Id="rId5" Type="http://schemas.openxmlformats.org/officeDocument/2006/relationships/hyperlink" Target="http://ban.lamolina.edu.pe/search~S1*spi?/aUniversidad+Nacional+Agraria+La+Molina%2C+Lima+%28Peru%29.+Facultad+de+Ingenier%7bu00ED%7da+Agr%7bu00ED%7dcola/auniversidad+nacional+agraria+la+molina+lima+peru+facultad+de+ingenieria+agricola/-3,-1,0,B/browse" TargetMode="External"/><Relationship Id="rId15" Type="http://schemas.openxmlformats.org/officeDocument/2006/relationships/hyperlink" Target="http://ban.lamolina.edu.pe/search~S1*spi?/dEVALUACION/devaluacion/-3,-1,0,B/browse" TargetMode="External"/><Relationship Id="rId23" Type="http://schemas.openxmlformats.org/officeDocument/2006/relationships/hyperlink" Target="http://ban.lamolina.edu.pe/search~S1*spi?/dCARUMAS+%5bDIST%5d/dcarumas+dist/-3,-1,0,B/browse" TargetMode="External"/><Relationship Id="rId10" Type="http://schemas.openxmlformats.org/officeDocument/2006/relationships/hyperlink" Target="http://ban.lamolina.edu.pe/search~S1*spi?/dPROPIEDADES+MECANICAS/dpropiedades+mecanicas/-3,-1,0,B/browse" TargetMode="External"/><Relationship Id="rId19" Type="http://schemas.openxmlformats.org/officeDocument/2006/relationships/hyperlink" Target="http://ban.lamolina.edu.pe/search~S1*spi?/dPROPIEDADES+HIDRODINAMICAS/dpropiedades+hidrodinamicas/-3,-1,0,B/browse" TargetMode="External"/><Relationship Id="rId4" Type="http://schemas.openxmlformats.org/officeDocument/2006/relationships/hyperlink" Target="http://ban.lamolina.edu.pe/search~S1*spi?/aVergaray+Rold%7bu00E1%7dn%2C+Z.E./avergaray+roldan+z+e/-3,-1,0,B/browse" TargetMode="External"/><Relationship Id="rId9" Type="http://schemas.openxmlformats.org/officeDocument/2006/relationships/hyperlink" Target="http://ban.lamolina.edu.pe/search~S1*spi?/dHIDRODINAMICA/dhidrodinamica/-3,-1,0,B/browse" TargetMode="External"/><Relationship Id="rId14" Type="http://schemas.openxmlformats.org/officeDocument/2006/relationships/hyperlink" Target="http://ban.lamolina.edu.pe/search~S1*spi?/dMODELOS+ECONOMETRICOS/dmodelos+econometricos/-3,-1,0,B/browse" TargetMode="External"/><Relationship Id="rId22" Type="http://schemas.openxmlformats.org/officeDocument/2006/relationships/hyperlink" Target="http://ban.lamolina.edu.pe/search~S1*spi?/dPIEZOMETRO/dpiezometro/-3,-1,0,B/brows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Coronado Trinidad</dc:creator>
  <cp:keywords/>
  <dc:description/>
  <cp:lastModifiedBy>Myriam Coronado Trinidad</cp:lastModifiedBy>
  <cp:revision>1</cp:revision>
  <dcterms:created xsi:type="dcterms:W3CDTF">2017-01-16T15:39:00Z</dcterms:created>
  <dcterms:modified xsi:type="dcterms:W3CDTF">2017-01-16T15:41:00Z</dcterms:modified>
</cp:coreProperties>
</file>