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5" w:rsidRPr="00284E20" w:rsidRDefault="00284E20" w:rsidP="00284E20">
      <w:pPr>
        <w:jc w:val="center"/>
        <w:rPr>
          <w:rFonts w:ascii="Arial" w:hAnsi="Arial" w:cs="Arial"/>
          <w:b/>
          <w:sz w:val="24"/>
          <w:szCs w:val="24"/>
        </w:rPr>
      </w:pPr>
      <w:r w:rsidRPr="00284E20">
        <w:rPr>
          <w:rFonts w:ascii="Arial" w:hAnsi="Arial" w:cs="Arial"/>
          <w:b/>
          <w:sz w:val="24"/>
          <w:szCs w:val="24"/>
        </w:rPr>
        <w:t>RESUMEN</w:t>
      </w:r>
    </w:p>
    <w:p w:rsidR="00284E20" w:rsidRDefault="00284E20" w:rsidP="005A1895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284E20" w:rsidRPr="00284E20" w:rsidTr="00284E2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284E20" w:rsidRPr="00284E20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proofErr w:type="spellStart"/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Kohashikawa</w:t>
                    </w:r>
                    <w:proofErr w:type="spellEnd"/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 xml:space="preserve"> </w:t>
                    </w:r>
                    <w:proofErr w:type="spellStart"/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Takaezu</w:t>
                    </w:r>
                    <w:proofErr w:type="spellEnd"/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, N.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Facultad de Ciencias. Departamento de Biología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84E20" w:rsidRPr="00284E20" w:rsidRDefault="00284E20" w:rsidP="00284E2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284E20" w:rsidRPr="00284E20" w:rsidRDefault="00284E20" w:rsidP="00284E2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284E20" w:rsidRPr="00284E20" w:rsidTr="00284E2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284E20" w:rsidRPr="00284E20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Comportamiento de diferentes bacterias PGPR sobre el crecimiento del cultivo de papa (</w:t>
                  </w:r>
                  <w:proofErr w:type="spellStart"/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Solanum</w:t>
                  </w:r>
                  <w:proofErr w:type="spellEnd"/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</w:t>
                  </w:r>
                  <w:proofErr w:type="spellStart"/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tuberosum</w:t>
                  </w:r>
                  <w:proofErr w:type="spellEnd"/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)</w:t>
                  </w:r>
                </w:p>
              </w:tc>
            </w:tr>
          </w:tbl>
          <w:p w:rsidR="00284E20" w:rsidRPr="00284E20" w:rsidRDefault="00284E20" w:rsidP="00284E2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284E20" w:rsidRPr="00284E20" w:rsidRDefault="00284E20" w:rsidP="00284E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284E20" w:rsidRPr="00284E20" w:rsidTr="00284E2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284E20" w:rsidRPr="00284E20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(</w:t>
                  </w:r>
                  <w:proofErr w:type="spellStart"/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Peru</w:t>
                  </w:r>
                  <w:proofErr w:type="spellEnd"/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) 2010</w:t>
                  </w:r>
                </w:p>
              </w:tc>
            </w:tr>
          </w:tbl>
          <w:p w:rsidR="00284E20" w:rsidRPr="00284E20" w:rsidRDefault="00284E20" w:rsidP="00284E2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284E20" w:rsidRPr="00284E20" w:rsidRDefault="00284E20" w:rsidP="00284E20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284E20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0"/>
        <w:gridCol w:w="4893"/>
        <w:gridCol w:w="1621"/>
      </w:tblGrid>
      <w:tr w:rsidR="00284E20" w:rsidRPr="00284E20" w:rsidTr="00284E20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vAlign w:val="center"/>
            <w:hideMark/>
          </w:tcPr>
          <w:p w:rsidR="00284E20" w:rsidRPr="00284E20" w:rsidRDefault="00284E20" w:rsidP="00284E20">
            <w:pPr>
              <w:spacing w:after="18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284E20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vAlign w:val="center"/>
            <w:hideMark/>
          </w:tcPr>
          <w:p w:rsidR="00284E20" w:rsidRPr="00284E20" w:rsidRDefault="00284E20" w:rsidP="00284E20">
            <w:pPr>
              <w:spacing w:after="18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284E20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vAlign w:val="center"/>
            <w:hideMark/>
          </w:tcPr>
          <w:p w:rsidR="00284E20" w:rsidRPr="00284E20" w:rsidRDefault="00284E20" w:rsidP="00284E20">
            <w:pPr>
              <w:spacing w:after="18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284E20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284E20" w:rsidRPr="00284E20" w:rsidTr="00284E20">
        <w:trPr>
          <w:tblCellSpacing w:w="0" w:type="dxa"/>
        </w:trPr>
        <w:tc>
          <w:tcPr>
            <w:tcW w:w="2000" w:type="pct"/>
            <w:tcBorders>
              <w:top w:val="single" w:sz="4" w:space="0" w:color="ECECEC"/>
              <w:bottom w:val="nil"/>
            </w:tcBorders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hideMark/>
          </w:tcPr>
          <w:p w:rsidR="00284E20" w:rsidRPr="00284E20" w:rsidRDefault="00284E20" w:rsidP="00284E2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84E20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4" w:space="0" w:color="ECECEC"/>
              <w:bottom w:val="nil"/>
            </w:tcBorders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hideMark/>
          </w:tcPr>
          <w:p w:rsidR="00284E20" w:rsidRPr="00284E20" w:rsidRDefault="00284E20" w:rsidP="00284E2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84E20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284E20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F62 K7 - T</w:t>
              </w:r>
            </w:hyperlink>
            <w:r w:rsidRPr="00284E20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c.2</w:t>
            </w:r>
          </w:p>
        </w:tc>
        <w:tc>
          <w:tcPr>
            <w:tcW w:w="1700" w:type="pct"/>
            <w:tcBorders>
              <w:top w:val="single" w:sz="4" w:space="0" w:color="ECECEC"/>
              <w:bottom w:val="nil"/>
            </w:tcBorders>
            <w:shd w:val="clear" w:color="auto" w:fill="FFFFFF"/>
            <w:tcMar>
              <w:top w:w="9" w:type="dxa"/>
              <w:left w:w="75" w:type="dxa"/>
              <w:bottom w:w="9" w:type="dxa"/>
              <w:right w:w="75" w:type="dxa"/>
            </w:tcMar>
            <w:hideMark/>
          </w:tcPr>
          <w:p w:rsidR="00284E20" w:rsidRPr="00284E20" w:rsidRDefault="00284E20" w:rsidP="00284E2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84E20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284E20" w:rsidRPr="00284E20" w:rsidTr="00284E20">
        <w:tblPrEx>
          <w:tblCellSpacing w:w="0" w:type="nil"/>
          <w:shd w:val="clear" w:color="auto" w:fill="auto"/>
        </w:tblPrEx>
        <w:trPr>
          <w:gridBefore w:val="1"/>
          <w:gridAfter w:val="1"/>
          <w:wBefore w:w="75" w:type="dxa"/>
          <w:wAfter w:w="75" w:type="dxa"/>
        </w:trPr>
        <w:tc>
          <w:tcPr>
            <w:tcW w:w="0" w:type="auto"/>
            <w:vAlign w:val="center"/>
            <w:hideMark/>
          </w:tcPr>
          <w:tbl>
            <w:tblPr>
              <w:tblW w:w="489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3638"/>
            </w:tblGrid>
            <w:tr w:rsidR="00284E20" w:rsidRPr="00284E20" w:rsidTr="00284E20">
              <w:trPr>
                <w:jc w:val="center"/>
              </w:trPr>
              <w:tc>
                <w:tcPr>
                  <w:tcW w:w="128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98 p. 8 cuadros, 18 fig.; 94 ref.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128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Tesis (Biólogo)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128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Facultad Ciencias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128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 (Es)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128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SOLANUM TUBEROSUM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TUBERCULOS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BACTERIA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CULTIVO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RENDIMIENTO DE CULTIVOS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BACTERIA FIJADORA DEL NITROGENO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CONTROL DE ENFERMEDADES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SUSTANCIAS DE CRECIMIENTO VEGETAL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EVALULACION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CRECIMIENTO VEGETAL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284E2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BACTERIAS DIAZOTROFICAS</w:t>
                    </w:r>
                  </w:hyperlink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84E20" w:rsidRPr="00284E20" w:rsidTr="00284E20">
              <w:trPr>
                <w:jc w:val="center"/>
              </w:trPr>
              <w:tc>
                <w:tcPr>
                  <w:tcW w:w="128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718" w:type="pct"/>
                  <w:hideMark/>
                </w:tcPr>
                <w:p w:rsidR="00284E20" w:rsidRPr="00284E20" w:rsidRDefault="00284E20" w:rsidP="00284E2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84E20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PE2011000xxx B/M EUVZ F62;;</w:t>
                  </w:r>
                </w:p>
              </w:tc>
            </w:tr>
          </w:tbl>
          <w:p w:rsidR="00284E20" w:rsidRPr="00284E20" w:rsidRDefault="00284E20" w:rsidP="00284E2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A1895" w:rsidRDefault="005A1895" w:rsidP="00284E20"/>
    <w:p w:rsidR="005A1895" w:rsidRDefault="005A1895" w:rsidP="00284E20"/>
    <w:p w:rsidR="00326F4E" w:rsidRPr="00535BD0" w:rsidRDefault="00326F4E" w:rsidP="00535BD0">
      <w:pPr>
        <w:jc w:val="both"/>
        <w:rPr>
          <w:rFonts w:ascii="Arial" w:hAnsi="Arial" w:cs="Arial"/>
          <w:sz w:val="24"/>
          <w:szCs w:val="24"/>
        </w:rPr>
      </w:pPr>
      <w:r w:rsidRPr="00535BD0">
        <w:rPr>
          <w:rFonts w:ascii="Arial" w:hAnsi="Arial" w:cs="Arial"/>
          <w:sz w:val="24"/>
          <w:szCs w:val="24"/>
        </w:rPr>
        <w:t xml:space="preserve">El cultivo de papa es de gran importancia en el Perú, ya que representa una vital fuente de carbohidratos y es empleado como base de muchos productos elaborados. Es cultivada por 600 mil pequeños agricultores </w:t>
      </w:r>
      <w:proofErr w:type="spellStart"/>
      <w:r w:rsidRPr="00535BD0">
        <w:rPr>
          <w:rFonts w:ascii="Arial" w:hAnsi="Arial" w:cs="Arial"/>
          <w:sz w:val="24"/>
          <w:szCs w:val="24"/>
        </w:rPr>
        <w:t>distribuídos</w:t>
      </w:r>
      <w:proofErr w:type="spellEnd"/>
      <w:r w:rsidRPr="00535BD0">
        <w:rPr>
          <w:rFonts w:ascii="Arial" w:hAnsi="Arial" w:cs="Arial"/>
          <w:sz w:val="24"/>
          <w:szCs w:val="24"/>
        </w:rPr>
        <w:t xml:space="preserve"> en 250 000 ha. El objetivo de este estudio fue probar la capacidad PGRP de cepas </w:t>
      </w:r>
      <w:proofErr w:type="spellStart"/>
      <w:r w:rsidR="00FB325E" w:rsidRPr="00535BD0">
        <w:rPr>
          <w:rFonts w:ascii="Arial" w:hAnsi="Arial" w:cs="Arial"/>
          <w:sz w:val="24"/>
          <w:szCs w:val="24"/>
        </w:rPr>
        <w:t>diazótrofas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 y evaluar su efecto en el crecimiento del cultivo de papa (</w:t>
      </w:r>
      <w:proofErr w:type="spellStart"/>
      <w:r w:rsidR="00FB325E" w:rsidRPr="00535BD0">
        <w:rPr>
          <w:rFonts w:ascii="Arial" w:hAnsi="Arial" w:cs="Arial"/>
          <w:i/>
          <w:sz w:val="24"/>
          <w:szCs w:val="24"/>
        </w:rPr>
        <w:t>Solanum</w:t>
      </w:r>
      <w:proofErr w:type="spellEnd"/>
      <w:r w:rsidR="00FB325E" w:rsidRPr="00535B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B325E" w:rsidRPr="00535BD0">
        <w:rPr>
          <w:rFonts w:ascii="Arial" w:hAnsi="Arial" w:cs="Arial"/>
          <w:i/>
          <w:sz w:val="24"/>
          <w:szCs w:val="24"/>
        </w:rPr>
        <w:t>tuberosum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) bajo condiciones de invernadero y de campo. Cuarenta y cinco cepas </w:t>
      </w:r>
      <w:proofErr w:type="spellStart"/>
      <w:r w:rsidR="00FB325E" w:rsidRPr="00535BD0">
        <w:rPr>
          <w:rFonts w:ascii="Arial" w:hAnsi="Arial" w:cs="Arial"/>
          <w:sz w:val="24"/>
          <w:szCs w:val="24"/>
        </w:rPr>
        <w:t>diazótrofas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, aisladas en un trabajo previo, fueron evaluadas por su capacidad para producir ácido indol-3-acético (AIA), </w:t>
      </w:r>
      <w:proofErr w:type="spellStart"/>
      <w:r w:rsidR="00FB325E" w:rsidRPr="00535BD0">
        <w:rPr>
          <w:rFonts w:ascii="Arial" w:hAnsi="Arial" w:cs="Arial"/>
          <w:sz w:val="24"/>
          <w:szCs w:val="24"/>
        </w:rPr>
        <w:t>solubilización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 de fosfato y antagonismo contra </w:t>
      </w:r>
      <w:proofErr w:type="spellStart"/>
      <w:r w:rsidR="00FB325E" w:rsidRPr="00535BD0">
        <w:rPr>
          <w:rFonts w:ascii="Arial" w:hAnsi="Arial" w:cs="Arial"/>
          <w:i/>
          <w:sz w:val="24"/>
          <w:szCs w:val="24"/>
        </w:rPr>
        <w:t>Rhizoctonia</w:t>
      </w:r>
      <w:proofErr w:type="spellEnd"/>
      <w:r w:rsidR="00FB325E" w:rsidRPr="00535B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B325E" w:rsidRPr="00535BD0">
        <w:rPr>
          <w:rFonts w:ascii="Arial" w:hAnsi="Arial" w:cs="Arial"/>
          <w:i/>
          <w:sz w:val="24"/>
          <w:szCs w:val="24"/>
        </w:rPr>
        <w:t>solani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. Luego, 21 aislamientos fueron evaluados para la reducción de acetileno (ARA). Las cepas azo1M1, azo1M4 y azo16M2 fueron seleccionadas para su inoculación en ensayos de invernadero y campo. Los resultados de las pruebas in vitro mostraron que el 42,2% de las cepas fueron productoras de A1A, 53,3% solubilizaron el fosfato y el 31% mostró un comportamiento antagonista contra </w:t>
      </w:r>
      <w:r w:rsidR="00FB325E" w:rsidRPr="00535BD0">
        <w:rPr>
          <w:rFonts w:ascii="Arial" w:hAnsi="Arial" w:cs="Arial"/>
          <w:i/>
          <w:sz w:val="24"/>
          <w:szCs w:val="24"/>
        </w:rPr>
        <w:t xml:space="preserve">R. </w:t>
      </w:r>
      <w:proofErr w:type="spellStart"/>
      <w:r w:rsidR="00FB325E" w:rsidRPr="00535BD0">
        <w:rPr>
          <w:rFonts w:ascii="Arial" w:hAnsi="Arial" w:cs="Arial"/>
          <w:i/>
          <w:sz w:val="24"/>
          <w:szCs w:val="24"/>
        </w:rPr>
        <w:t>solani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. Por otro lado, cuatro aislamientos fueron positivos para la prueba de ARA. Los resultados a nivel de invernadero mostraron que la cepa azo1M4 obtuvo los valores más altos en </w:t>
      </w:r>
      <w:r w:rsidR="00FB325E" w:rsidRPr="00535BD0">
        <w:rPr>
          <w:rFonts w:ascii="Arial" w:hAnsi="Arial" w:cs="Arial"/>
          <w:sz w:val="24"/>
          <w:szCs w:val="24"/>
        </w:rPr>
        <w:lastRenderedPageBreak/>
        <w:t xml:space="preserve">peso fresco de raíz y tubérculos (0.349 g y 3.845 g. respectivamente), aunque sin significancia. Por otro lado, azo16M2 obtuvo el mejor valor en %N en tubérculos. Los resultados sugieren que las cepas </w:t>
      </w:r>
      <w:proofErr w:type="spellStart"/>
      <w:r w:rsidR="00FB325E" w:rsidRPr="00535BD0">
        <w:rPr>
          <w:rFonts w:ascii="Arial" w:hAnsi="Arial" w:cs="Arial"/>
          <w:sz w:val="24"/>
          <w:szCs w:val="24"/>
        </w:rPr>
        <w:t>diazótrofas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 aisladas de la </w:t>
      </w:r>
      <w:proofErr w:type="spellStart"/>
      <w:r w:rsidR="00FB325E" w:rsidRPr="00535BD0">
        <w:rPr>
          <w:rFonts w:ascii="Arial" w:hAnsi="Arial" w:cs="Arial"/>
          <w:sz w:val="24"/>
          <w:szCs w:val="24"/>
        </w:rPr>
        <w:t>rizósfera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 xml:space="preserve"> de papa en los Andes del Perú tiene un enorme potencial como </w:t>
      </w:r>
      <w:proofErr w:type="spellStart"/>
      <w:r w:rsidR="00FB325E" w:rsidRPr="00535BD0">
        <w:rPr>
          <w:rFonts w:ascii="Arial" w:hAnsi="Arial" w:cs="Arial"/>
          <w:sz w:val="24"/>
          <w:szCs w:val="24"/>
        </w:rPr>
        <w:t>biofertilizantes</w:t>
      </w:r>
      <w:proofErr w:type="spellEnd"/>
      <w:r w:rsidR="00FB325E" w:rsidRPr="00535BD0">
        <w:rPr>
          <w:rFonts w:ascii="Arial" w:hAnsi="Arial" w:cs="Arial"/>
          <w:sz w:val="24"/>
          <w:szCs w:val="24"/>
        </w:rPr>
        <w:t>, debido a sus características PGPR.</w:t>
      </w:r>
    </w:p>
    <w:p w:rsidR="00535BD0" w:rsidRPr="00535BD0" w:rsidRDefault="00535BD0" w:rsidP="00535BD0">
      <w:pPr>
        <w:jc w:val="both"/>
        <w:rPr>
          <w:rFonts w:ascii="Arial" w:hAnsi="Arial" w:cs="Arial"/>
          <w:b/>
          <w:sz w:val="24"/>
          <w:szCs w:val="24"/>
        </w:rPr>
      </w:pPr>
    </w:p>
    <w:p w:rsidR="005A1895" w:rsidRPr="00535BD0" w:rsidRDefault="00FB325E" w:rsidP="00535BD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35BD0">
        <w:rPr>
          <w:rFonts w:ascii="Arial" w:hAnsi="Arial" w:cs="Arial"/>
          <w:b/>
          <w:sz w:val="24"/>
          <w:szCs w:val="24"/>
        </w:rPr>
        <w:t>Abstract</w:t>
      </w:r>
      <w:proofErr w:type="spellEnd"/>
    </w:p>
    <w:p w:rsidR="00FB325E" w:rsidRPr="00535BD0" w:rsidRDefault="00FB325E" w:rsidP="00535BD0">
      <w:pPr>
        <w:jc w:val="both"/>
        <w:rPr>
          <w:rFonts w:ascii="Arial" w:hAnsi="Arial" w:cs="Arial"/>
          <w:sz w:val="24"/>
          <w:szCs w:val="24"/>
        </w:rPr>
      </w:pPr>
    </w:p>
    <w:p w:rsidR="005A1895" w:rsidRPr="00535BD0" w:rsidRDefault="00FB325E" w:rsidP="00535B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35BD0">
        <w:rPr>
          <w:rFonts w:ascii="Arial" w:hAnsi="Arial" w:cs="Arial"/>
          <w:sz w:val="24"/>
          <w:szCs w:val="24"/>
          <w:lang w:val="en-US"/>
        </w:rPr>
        <w:t xml:space="preserve">The potato tubers are of major economic importance since they are used as a carbohydrate source and as a basis of many processed products. It is grown by 600 thousand small agricultural farmers at 250 000 ha. The aim of this study was to test the PGPR capability of </w:t>
      </w:r>
      <w:proofErr w:type="spellStart"/>
      <w:r w:rsidRPr="00535BD0">
        <w:rPr>
          <w:rFonts w:ascii="Arial" w:hAnsi="Arial" w:cs="Arial"/>
          <w:sz w:val="24"/>
          <w:szCs w:val="24"/>
          <w:lang w:val="en-US"/>
        </w:rPr>
        <w:t>diazotrophs</w:t>
      </w:r>
      <w:proofErr w:type="spellEnd"/>
      <w:r w:rsidRPr="00535BD0">
        <w:rPr>
          <w:rFonts w:ascii="Arial" w:hAnsi="Arial" w:cs="Arial"/>
          <w:sz w:val="24"/>
          <w:szCs w:val="24"/>
          <w:lang w:val="en-US"/>
        </w:rPr>
        <w:t xml:space="preserve"> strains and evaluate their inoculation effect on potato seed tubers (</w:t>
      </w:r>
      <w:proofErr w:type="spellStart"/>
      <w:r w:rsidRPr="00535BD0">
        <w:rPr>
          <w:rFonts w:ascii="Arial" w:hAnsi="Arial" w:cs="Arial"/>
          <w:i/>
          <w:sz w:val="24"/>
          <w:szCs w:val="24"/>
          <w:lang w:val="en-US"/>
        </w:rPr>
        <w:t>Solanum</w:t>
      </w:r>
      <w:proofErr w:type="spellEnd"/>
      <w:r w:rsidRPr="00535BD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35BD0">
        <w:rPr>
          <w:rFonts w:ascii="Arial" w:hAnsi="Arial" w:cs="Arial"/>
          <w:i/>
          <w:sz w:val="24"/>
          <w:szCs w:val="24"/>
          <w:lang w:val="en-US"/>
        </w:rPr>
        <w:t>tuberosum</w:t>
      </w:r>
      <w:proofErr w:type="spellEnd"/>
      <w:r w:rsidRPr="00535BD0">
        <w:rPr>
          <w:rFonts w:ascii="Arial" w:hAnsi="Arial" w:cs="Arial"/>
          <w:sz w:val="24"/>
          <w:szCs w:val="24"/>
          <w:lang w:val="en-US"/>
        </w:rPr>
        <w:t xml:space="preserve">) under greenhouse and field conditions in order to estimate their capacity to improve the performance of this crop. Forty five </w:t>
      </w:r>
      <w:proofErr w:type="spellStart"/>
      <w:r w:rsidRPr="00535BD0">
        <w:rPr>
          <w:rFonts w:ascii="Arial" w:hAnsi="Arial" w:cs="Arial"/>
          <w:sz w:val="24"/>
          <w:szCs w:val="24"/>
          <w:lang w:val="en-US"/>
        </w:rPr>
        <w:t>diazotrophic</w:t>
      </w:r>
      <w:proofErr w:type="spellEnd"/>
      <w:r w:rsidRPr="00535BD0">
        <w:rPr>
          <w:rFonts w:ascii="Arial" w:hAnsi="Arial" w:cs="Arial"/>
          <w:sz w:val="24"/>
          <w:szCs w:val="24"/>
          <w:lang w:val="en-US"/>
        </w:rPr>
        <w:t xml:space="preserve"> strains, isolated in a previous </w:t>
      </w:r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work from the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Andea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 highland of Peru, were tested for their ability to produce indole-3-acetic acid (IAA), phosphate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solubilization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 and ant</w:t>
      </w:r>
      <w:r w:rsidR="00535BD0" w:rsidRPr="00535BD0">
        <w:rPr>
          <w:rFonts w:ascii="Arial" w:hAnsi="Arial" w:cs="Arial"/>
          <w:sz w:val="24"/>
          <w:szCs w:val="24"/>
          <w:lang w:val="en-US"/>
        </w:rPr>
        <w:t>agonis</w:t>
      </w:r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m against </w:t>
      </w:r>
      <w:proofErr w:type="spellStart"/>
      <w:r w:rsidR="00CF1D45" w:rsidRPr="00535BD0">
        <w:rPr>
          <w:rFonts w:ascii="Arial" w:hAnsi="Arial" w:cs="Arial"/>
          <w:i/>
          <w:sz w:val="24"/>
          <w:szCs w:val="24"/>
          <w:lang w:val="en-US"/>
        </w:rPr>
        <w:t>Rhizoctonia</w:t>
      </w:r>
      <w:proofErr w:type="spellEnd"/>
      <w:r w:rsidR="00CF1D45" w:rsidRPr="00535BD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CF1D45" w:rsidRPr="00535BD0">
        <w:rPr>
          <w:rFonts w:ascii="Arial" w:hAnsi="Arial" w:cs="Arial"/>
          <w:i/>
          <w:sz w:val="24"/>
          <w:szCs w:val="24"/>
          <w:lang w:val="en-US"/>
        </w:rPr>
        <w:t>solani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, 21 isolates were later assessed for acetylene reduction (ARA). Three isolates were selected for a field trial inoculation. Potato seed tubers of variety Desiree were inoculated with azo1M1, azo1M4 and azo16M2, a chemical control (CC), a positive control (Bacillus strain BacE1) and an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uninoculated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 control (UC). Harvested-tubers and shoot were tested for fresh and dry w</w:t>
      </w:r>
      <w:r w:rsidR="00535BD0" w:rsidRPr="00535BD0">
        <w:rPr>
          <w:rFonts w:ascii="Arial" w:hAnsi="Arial" w:cs="Arial"/>
          <w:sz w:val="24"/>
          <w:szCs w:val="24"/>
          <w:lang w:val="en-US"/>
        </w:rPr>
        <w:t>e</w:t>
      </w:r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ight, as well as for nutrient content. In vitro testing results showed antagonist behavior against t.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solani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. Moreover, 4 isolates were positive for the ARA test. In tubers nutrient content analysis, azo1M4 showed significant differences in %P (0,275 mg/g dry weight) compared to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th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 UC and the highest values in %N and %K in shoot (2.05 and 3.00 mg/g dry weight, respectively) although without significant differences. Furthermore, azo16M2 obtained the best %N value in tubers, but with no statistical significance. The results suggested that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diazotrophs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 strains isolated from potato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rhizosphere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 in the Andean highlands of Peru has an enormous potential as </w:t>
      </w:r>
      <w:proofErr w:type="spellStart"/>
      <w:r w:rsidR="00CF1D45" w:rsidRPr="00535BD0">
        <w:rPr>
          <w:rFonts w:ascii="Arial" w:hAnsi="Arial" w:cs="Arial"/>
          <w:sz w:val="24"/>
          <w:szCs w:val="24"/>
          <w:lang w:val="en-US"/>
        </w:rPr>
        <w:t>biofertilizers</w:t>
      </w:r>
      <w:proofErr w:type="spellEnd"/>
      <w:r w:rsidR="00CF1D45" w:rsidRPr="00535BD0">
        <w:rPr>
          <w:rFonts w:ascii="Arial" w:hAnsi="Arial" w:cs="Arial"/>
          <w:sz w:val="24"/>
          <w:szCs w:val="24"/>
          <w:lang w:val="en-US"/>
        </w:rPr>
        <w:t xml:space="preserve"> due to their PGRP characteristics.</w:t>
      </w:r>
    </w:p>
    <w:p w:rsidR="005A1895" w:rsidRPr="00535BD0" w:rsidRDefault="005A1895" w:rsidP="00535BD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A1895" w:rsidRPr="00FB325E" w:rsidRDefault="005A1895" w:rsidP="005A1895">
      <w:pPr>
        <w:rPr>
          <w:lang w:val="en-US"/>
        </w:rPr>
      </w:pPr>
    </w:p>
    <w:p w:rsidR="005A1895" w:rsidRPr="00FB325E" w:rsidRDefault="005A1895" w:rsidP="005A1895">
      <w:pPr>
        <w:rPr>
          <w:lang w:val="en-US"/>
        </w:rPr>
      </w:pPr>
      <w:r w:rsidRPr="00FB325E">
        <w:rPr>
          <w:lang w:val="en-US"/>
        </w:rPr>
        <w:t xml:space="preserve">  </w:t>
      </w:r>
    </w:p>
    <w:p w:rsidR="00F939BB" w:rsidRPr="00FB325E" w:rsidRDefault="00F939BB" w:rsidP="005A1895">
      <w:pPr>
        <w:rPr>
          <w:lang w:val="en-US"/>
        </w:rPr>
      </w:pPr>
    </w:p>
    <w:sectPr w:rsidR="00F939BB" w:rsidRPr="00FB325E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939BB"/>
    <w:rsid w:val="001D0277"/>
    <w:rsid w:val="00240A8B"/>
    <w:rsid w:val="00284E20"/>
    <w:rsid w:val="00326F4E"/>
    <w:rsid w:val="00385509"/>
    <w:rsid w:val="004D1CAD"/>
    <w:rsid w:val="00535BD0"/>
    <w:rsid w:val="005A1895"/>
    <w:rsid w:val="00721D05"/>
    <w:rsid w:val="00AC6FC7"/>
    <w:rsid w:val="00CF1D45"/>
    <w:rsid w:val="00F939BB"/>
    <w:rsid w:val="00FB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28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4E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284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2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4446">
                              <w:marLeft w:val="1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1686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24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5796">
                              <w:marLeft w:val="1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3991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TUBERCULOS/dtuberculos/-3,-1,0,B/browse" TargetMode="External"/><Relationship Id="rId13" Type="http://schemas.openxmlformats.org/officeDocument/2006/relationships/hyperlink" Target="http://ban.lamolina.edu.pe/search~S1*spi?/dCONTROL+DE+ENFERMEDADES/dcontrol+de+enfermedades/-3,-1,0,B/browse" TargetMode="External"/><Relationship Id="rId18" Type="http://schemas.openxmlformats.org/officeDocument/2006/relationships/hyperlink" Target="http://ban.lamolina.edu.pe/search~S1*spi?/dBACTERIAS+DIAZOTROFICAS/dbacterias+diazotroficas/-3,-1,0,B/brow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SOLANUM+TUBEROSUM/dsolanum+tuberosum/-3,-1,0,B/browse" TargetMode="External"/><Relationship Id="rId12" Type="http://schemas.openxmlformats.org/officeDocument/2006/relationships/hyperlink" Target="http://ban.lamolina.edu.pe/search~S1*spi?/dBACTERIA+FIJADORA+DEL+NITROGENO/dbacteria+fijadora+del+nitrogeno/-3,-1,0,B/browse" TargetMode="External"/><Relationship Id="rId17" Type="http://schemas.openxmlformats.org/officeDocument/2006/relationships/hyperlink" Target="http://ban.lamolina.edu.pe/search~S1*spi?/dCRECIMIENTO+VEGETAL/dcrecimiento+vegetal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PERU/dperu/-3,-1,0,B/brow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F62+K7+-+T/cf++++62+k7+t/-3,-1,,E/browse" TargetMode="External"/><Relationship Id="rId11" Type="http://schemas.openxmlformats.org/officeDocument/2006/relationships/hyperlink" Target="http://ban.lamolina.edu.pe/search~S1*spi?/dRENDIMIENTO+DE+CULTIVOS/drendimiento+de+cultivos/-3,-1,0,B/browse" TargetMode="External"/><Relationship Id="rId5" Type="http://schemas.openxmlformats.org/officeDocument/2006/relationships/hyperlink" Target="http://ban.lamolina.edu.pe/search~S1*spi?/aUniversidad+Nacional+Agraria+La+Molina%2C+Lima+%28Peru%29.+Facultad+de+Ciencias.+Departamento+de+Biolog%7bu00ED%7da/auniversidad+nacional+agraria+la+molina+lima+peru+facultad+de+ciencias+departamento+de+biologia/-3,-1,0,B/browse" TargetMode="External"/><Relationship Id="rId15" Type="http://schemas.openxmlformats.org/officeDocument/2006/relationships/hyperlink" Target="http://ban.lamolina.edu.pe/search~S1*spi?/dEVALULACION/devalulacion/-3,-1,0,B/browse" TargetMode="External"/><Relationship Id="rId10" Type="http://schemas.openxmlformats.org/officeDocument/2006/relationships/hyperlink" Target="http://ban.lamolina.edu.pe/search~S1*spi?/dCULTIVO/dcultivo/-3,-1,0,B/brows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n.lamolina.edu.pe/search~S1*spi?/aKohashikawa+Takaezu%2C+N./akohashikawa+takaezu+n/-3,-1,0,B/browse" TargetMode="External"/><Relationship Id="rId9" Type="http://schemas.openxmlformats.org/officeDocument/2006/relationships/hyperlink" Target="http://ban.lamolina.edu.pe/search~S1*spi?/dBACTERIA/dbacteria/-3,-1,0,B/browse" TargetMode="External"/><Relationship Id="rId14" Type="http://schemas.openxmlformats.org/officeDocument/2006/relationships/hyperlink" Target="http://ban.lamolina.edu.pe/search~S1*spi?/dSUSTANCIAS+DE+CRECIMIENTO+VEGETAL/dsustancias+de+crecimiento+vegetal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2017-04-03T15:24:00Z</dcterms:created>
  <dcterms:modified xsi:type="dcterms:W3CDTF">2017-04-03T20:23:00Z</dcterms:modified>
</cp:coreProperties>
</file>